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7A5626" w14:textId="23B6D8D3" w:rsidR="00AE0D5D" w:rsidRDefault="00AE0D5D" w:rsidP="0009502C">
      <w:pPr>
        <w:jc w:val="center"/>
        <w:rPr>
          <w:rFonts w:asciiTheme="minorHAnsi" w:hAnsiTheme="minorHAnsi" w:cstheme="minorHAnsi"/>
          <w:b/>
          <w:szCs w:val="24"/>
        </w:rPr>
      </w:pPr>
      <w:r>
        <w:rPr>
          <w:rFonts w:asciiTheme="minorHAnsi" w:hAnsiTheme="minorHAnsi" w:cstheme="minorHAnsi"/>
          <w:b/>
          <w:szCs w:val="24"/>
        </w:rPr>
        <w:t>RFP-</w:t>
      </w:r>
      <w:r w:rsidR="0011345F" w:rsidRPr="00A2550B">
        <w:rPr>
          <w:rFonts w:asciiTheme="minorHAnsi" w:hAnsiTheme="minorHAnsi" w:cstheme="minorHAnsi"/>
          <w:b/>
          <w:szCs w:val="24"/>
        </w:rPr>
        <w:t>2</w:t>
      </w:r>
      <w:r>
        <w:rPr>
          <w:rFonts w:asciiTheme="minorHAnsi" w:hAnsiTheme="minorHAnsi" w:cstheme="minorHAnsi"/>
          <w:b/>
          <w:szCs w:val="24"/>
        </w:rPr>
        <w:t>2-69462</w:t>
      </w:r>
    </w:p>
    <w:p w14:paraId="3360D5BD" w14:textId="405FFD04" w:rsidR="0009502C" w:rsidRPr="00A2550B" w:rsidRDefault="00D45264" w:rsidP="0009502C">
      <w:pPr>
        <w:jc w:val="center"/>
        <w:rPr>
          <w:rFonts w:asciiTheme="minorHAnsi" w:hAnsiTheme="minorHAnsi" w:cstheme="minorHAnsi"/>
          <w:b/>
          <w:szCs w:val="24"/>
        </w:rPr>
      </w:pPr>
      <w:r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4378BB4F"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4F29C77E" w:rsidR="007E520E" w:rsidRPr="00A2550B" w:rsidRDefault="00836E96" w:rsidP="0009502C">
            <w:pPr>
              <w:rPr>
                <w:rFonts w:asciiTheme="minorHAnsi" w:hAnsiTheme="minorHAnsi" w:cstheme="minorHAnsi"/>
                <w:szCs w:val="24"/>
              </w:rPr>
            </w:pPr>
            <w:r>
              <w:rPr>
                <w:rFonts w:asciiTheme="minorHAnsi" w:hAnsiTheme="minorHAnsi" w:cstheme="minorHAnsi"/>
                <w:szCs w:val="24"/>
              </w:rPr>
              <w:t>West offers our Thomson Reuters CLEAR in response to th</w:t>
            </w:r>
            <w:r w:rsidR="00940E3E">
              <w:rPr>
                <w:rFonts w:asciiTheme="minorHAnsi" w:hAnsiTheme="minorHAnsi" w:cstheme="minorHAnsi"/>
                <w:szCs w:val="24"/>
              </w:rPr>
              <w:t>is RFP</w:t>
            </w:r>
            <w:r w:rsidR="00764E14">
              <w:rPr>
                <w:rFonts w:asciiTheme="minorHAnsi" w:hAnsiTheme="minorHAnsi" w:cstheme="minorHAnsi"/>
                <w:szCs w:val="24"/>
              </w:rPr>
              <w:t xml:space="preserve"> for Parent/Relative Locator Service</w:t>
            </w:r>
            <w:r w:rsidR="00940E3E">
              <w:rPr>
                <w:rFonts w:asciiTheme="minorHAnsi" w:hAnsiTheme="minorHAnsi" w:cstheme="minorHAnsi"/>
                <w:szCs w:val="24"/>
              </w:rPr>
              <w:t xml:space="preserve">. CLEAR has assisted other government </w:t>
            </w:r>
            <w:r w:rsidR="00764E14">
              <w:rPr>
                <w:rFonts w:asciiTheme="minorHAnsi" w:hAnsiTheme="minorHAnsi" w:cstheme="minorHAnsi"/>
                <w:szCs w:val="24"/>
              </w:rPr>
              <w:t xml:space="preserve">agencies in </w:t>
            </w:r>
            <w:r w:rsidR="00C74DA5">
              <w:rPr>
                <w:rFonts w:asciiTheme="minorHAnsi" w:hAnsiTheme="minorHAnsi" w:cstheme="minorHAnsi"/>
                <w:szCs w:val="24"/>
              </w:rPr>
              <w:t xml:space="preserve">locating hard-to-find parents, and we are offering to bring the benefits of </w:t>
            </w:r>
            <w:r w:rsidR="007D299A">
              <w:rPr>
                <w:rFonts w:asciiTheme="minorHAnsi" w:hAnsiTheme="minorHAnsi" w:cstheme="minorHAnsi"/>
                <w:szCs w:val="24"/>
              </w:rPr>
              <w:t xml:space="preserve">using CLEAR to the Indiana Department of Child Services. Please see our entire proposal submission </w:t>
            </w:r>
            <w:r w:rsidR="00C3779A">
              <w:rPr>
                <w:rFonts w:asciiTheme="minorHAnsi" w:hAnsiTheme="minorHAnsi" w:cstheme="minorHAnsi"/>
                <w:szCs w:val="24"/>
              </w:rPr>
              <w:t>regarding our offer.</w:t>
            </w:r>
          </w:p>
        </w:tc>
      </w:tr>
    </w:tbl>
    <w:p w14:paraId="44AD1811" w14:textId="77777777" w:rsidR="0009502C" w:rsidRPr="00A2550B" w:rsidRDefault="0009502C" w:rsidP="0009502C">
      <w:pPr>
        <w:rPr>
          <w:rFonts w:asciiTheme="minorHAnsi" w:hAnsiTheme="minorHAnsi" w:cstheme="minorHAnsi"/>
          <w:szCs w:val="24"/>
        </w:rPr>
      </w:pPr>
    </w:p>
    <w:p w14:paraId="3F8124E9" w14:textId="15CA891A"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24D3F403" w14:textId="4616AAE9" w:rsidR="007218E2" w:rsidRPr="007218E2" w:rsidRDefault="00955770" w:rsidP="007218E2">
            <w:pPr>
              <w:rPr>
                <w:rFonts w:asciiTheme="minorHAnsi" w:hAnsiTheme="minorHAnsi" w:cstheme="minorHAnsi"/>
                <w:szCs w:val="24"/>
              </w:rPr>
            </w:pPr>
            <w:r>
              <w:rPr>
                <w:rFonts w:asciiTheme="minorHAnsi" w:hAnsiTheme="minorHAnsi" w:cstheme="minorHAnsi"/>
                <w:szCs w:val="24"/>
              </w:rPr>
              <w:t>West Publishing Corporation</w:t>
            </w:r>
            <w:r w:rsidR="006223BF">
              <w:rPr>
                <w:rFonts w:asciiTheme="minorHAnsi" w:hAnsiTheme="minorHAnsi" w:cstheme="minorHAnsi"/>
                <w:szCs w:val="24"/>
              </w:rPr>
              <w:t xml:space="preserve">, dba West, a Thomson Reuters business, is </w:t>
            </w:r>
            <w:r w:rsidR="00BE246F">
              <w:rPr>
                <w:rFonts w:asciiTheme="minorHAnsi" w:hAnsiTheme="minorHAnsi" w:cstheme="minorHAnsi"/>
                <w:szCs w:val="24"/>
              </w:rPr>
              <w:t xml:space="preserve">a leading provider of information </w:t>
            </w:r>
            <w:r w:rsidR="002C2CB0">
              <w:rPr>
                <w:rFonts w:asciiTheme="minorHAnsi" w:hAnsiTheme="minorHAnsi" w:cstheme="minorHAnsi"/>
                <w:szCs w:val="24"/>
              </w:rPr>
              <w:t xml:space="preserve">for </w:t>
            </w:r>
            <w:r w:rsidR="00CA4DCE">
              <w:rPr>
                <w:rFonts w:asciiTheme="minorHAnsi" w:hAnsiTheme="minorHAnsi" w:cstheme="minorHAnsi"/>
                <w:szCs w:val="24"/>
              </w:rPr>
              <w:t>due diligence</w:t>
            </w:r>
            <w:r w:rsidR="006968B0">
              <w:rPr>
                <w:rFonts w:asciiTheme="minorHAnsi" w:hAnsiTheme="minorHAnsi" w:cstheme="minorHAnsi"/>
                <w:szCs w:val="24"/>
              </w:rPr>
              <w:t>/</w:t>
            </w:r>
            <w:r w:rsidR="002C2CB0">
              <w:rPr>
                <w:rFonts w:asciiTheme="minorHAnsi" w:hAnsiTheme="minorHAnsi" w:cstheme="minorHAnsi"/>
                <w:szCs w:val="24"/>
              </w:rPr>
              <w:t>investigative</w:t>
            </w:r>
            <w:r w:rsidR="006968B0">
              <w:rPr>
                <w:rFonts w:asciiTheme="minorHAnsi" w:hAnsiTheme="minorHAnsi" w:cstheme="minorHAnsi"/>
                <w:szCs w:val="24"/>
              </w:rPr>
              <w:t xml:space="preserve"> and legal</w:t>
            </w:r>
            <w:r w:rsidR="00CA4DCE">
              <w:rPr>
                <w:rFonts w:asciiTheme="minorHAnsi" w:hAnsiTheme="minorHAnsi" w:cstheme="minorHAnsi"/>
                <w:szCs w:val="24"/>
              </w:rPr>
              <w:t xml:space="preserve"> research.</w:t>
            </w:r>
            <w:r w:rsidR="007218E2">
              <w:rPr>
                <w:rFonts w:asciiTheme="minorHAnsi" w:hAnsiTheme="minorHAnsi" w:cstheme="minorHAnsi"/>
                <w:szCs w:val="24"/>
              </w:rPr>
              <w:t xml:space="preserve"> </w:t>
            </w:r>
            <w:r w:rsidR="007218E2" w:rsidRPr="007218E2">
              <w:rPr>
                <w:rFonts w:asciiTheme="minorHAnsi" w:hAnsiTheme="minorHAnsi" w:cstheme="minorHAnsi"/>
                <w:szCs w:val="24"/>
              </w:rPr>
              <w:t>West is headquartered in the Twin Cities area of Minnesota. West was founded as West Publishing Company in 1872. West Publishing Corporation was incorporated in the state of Minnesota in 1982 and is now a Thomson Reuters business.</w:t>
            </w:r>
            <w:r w:rsidR="00541900">
              <w:rPr>
                <w:rFonts w:asciiTheme="minorHAnsi" w:hAnsiTheme="minorHAnsi" w:cstheme="minorHAnsi"/>
                <w:szCs w:val="24"/>
              </w:rPr>
              <w:t xml:space="preserve"> </w:t>
            </w:r>
            <w:r w:rsidR="001344C7">
              <w:rPr>
                <w:rFonts w:asciiTheme="minorHAnsi" w:hAnsiTheme="minorHAnsi" w:cstheme="minorHAnsi"/>
                <w:szCs w:val="24"/>
              </w:rPr>
              <w:t xml:space="preserve">(Please see the certificate </w:t>
            </w:r>
            <w:r w:rsidR="009B05FC">
              <w:rPr>
                <w:rFonts w:asciiTheme="minorHAnsi" w:hAnsiTheme="minorHAnsi" w:cstheme="minorHAnsi"/>
                <w:szCs w:val="24"/>
              </w:rPr>
              <w:t>of incorporation</w:t>
            </w:r>
            <w:r w:rsidR="001344C7">
              <w:rPr>
                <w:rFonts w:asciiTheme="minorHAnsi" w:hAnsiTheme="minorHAnsi" w:cstheme="minorHAnsi"/>
                <w:szCs w:val="24"/>
              </w:rPr>
              <w:t xml:space="preserve"> included with our proposal.) </w:t>
            </w:r>
            <w:r w:rsidR="00143C5A">
              <w:rPr>
                <w:rFonts w:asciiTheme="minorHAnsi" w:hAnsiTheme="minorHAnsi" w:cstheme="minorHAnsi"/>
                <w:szCs w:val="24"/>
              </w:rPr>
              <w:t xml:space="preserve">West is the manufacturer and sole provider of Thomson Reuters CLEAR. CLEAR is used by </w:t>
            </w:r>
            <w:r w:rsidR="00143C5A" w:rsidRPr="00143C5A">
              <w:rPr>
                <w:rFonts w:asciiTheme="minorHAnsi" w:hAnsiTheme="minorHAnsi" w:cstheme="minorHAnsi"/>
                <w:szCs w:val="24"/>
              </w:rPr>
              <w:t>government entities with investigative or fraud prevention/program integrity objectives</w:t>
            </w:r>
            <w:r w:rsidR="00865601">
              <w:rPr>
                <w:rFonts w:asciiTheme="minorHAnsi" w:hAnsiTheme="minorHAnsi" w:cstheme="minorHAnsi"/>
                <w:szCs w:val="24"/>
              </w:rPr>
              <w:t xml:space="preserve">, as well as by law enforcement and corporate entities </w:t>
            </w:r>
            <w:r w:rsidR="001E0234">
              <w:rPr>
                <w:rFonts w:asciiTheme="minorHAnsi" w:hAnsiTheme="minorHAnsi" w:cstheme="minorHAnsi"/>
                <w:szCs w:val="24"/>
              </w:rPr>
              <w:t>for identity verification, risk assessment, and corporate security purposes.</w:t>
            </w:r>
          </w:p>
          <w:p w14:paraId="5871C53A" w14:textId="7244DAAC" w:rsidR="0009502C" w:rsidRPr="00A2550B" w:rsidRDefault="002C2CB0" w:rsidP="0009502C">
            <w:pPr>
              <w:rPr>
                <w:rFonts w:asciiTheme="minorHAnsi" w:hAnsiTheme="minorHAnsi" w:cstheme="minorHAnsi"/>
                <w:szCs w:val="24"/>
              </w:rPr>
            </w:pPr>
            <w:r>
              <w:rPr>
                <w:rFonts w:asciiTheme="minorHAnsi" w:hAnsiTheme="minorHAnsi" w:cstheme="minorHAnsi"/>
                <w:szCs w:val="24"/>
              </w:rPr>
              <w:t xml:space="preserve"> </w:t>
            </w:r>
          </w:p>
        </w:tc>
      </w:tr>
    </w:tbl>
    <w:p w14:paraId="0FDEC456" w14:textId="77777777" w:rsidR="0009502C" w:rsidRPr="00A2550B" w:rsidRDefault="0009502C" w:rsidP="0009502C">
      <w:pPr>
        <w:rPr>
          <w:rFonts w:asciiTheme="minorHAnsi" w:hAnsiTheme="minorHAnsi" w:cstheme="minorHAnsi"/>
          <w:szCs w:val="24"/>
        </w:rPr>
      </w:pPr>
    </w:p>
    <w:p w14:paraId="08E30CE5" w14:textId="2058BE73" w:rsidR="009255C1"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xml:space="preserve">, the State of Indiana sought to highlight the importance of this issue to the </w:t>
      </w:r>
      <w:r w:rsidR="00601A6F" w:rsidRPr="002F3BEF">
        <w:rPr>
          <w:rFonts w:asciiTheme="minorHAnsi" w:hAnsiTheme="minorHAnsi" w:cstheme="minorHAnsi"/>
          <w:szCs w:val="24"/>
        </w:rPr>
        <w:lastRenderedPageBreak/>
        <w:t>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p w14:paraId="078F0BF6" w14:textId="77777777" w:rsidR="005F14D1" w:rsidRPr="002F3BEF"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3B1CE013" w14:textId="77777777" w:rsidR="00F048E5" w:rsidRPr="00F048E5" w:rsidRDefault="00F048E5" w:rsidP="00F048E5">
            <w:pPr>
              <w:widowControl/>
              <w:spacing w:before="100" w:beforeAutospacing="1" w:after="100" w:afterAutospacing="1"/>
              <w:rPr>
                <w:rFonts w:asciiTheme="minorHAnsi" w:hAnsiTheme="minorHAnsi" w:cstheme="minorHAnsi"/>
                <w:snapToGrid/>
                <w:color w:val="404040"/>
                <w:szCs w:val="24"/>
              </w:rPr>
            </w:pPr>
            <w:r w:rsidRPr="00F048E5">
              <w:rPr>
                <w:rFonts w:asciiTheme="minorHAnsi" w:hAnsiTheme="minorHAnsi" w:cstheme="minorHAnsi"/>
                <w:snapToGrid/>
                <w:color w:val="404040"/>
                <w:szCs w:val="24"/>
              </w:rPr>
              <w:t>We foster an inclusive workplace where all employees are valued and have the opportunity to reach their full potential. We embrace diversity of thought, style, experience, culture, race, color, gender, national origin, religion, gender identity and expression, sexual orientation, disability, age, marital status, citizen status, and veteran status to drive innovation and deliver competitive advantage.</w:t>
            </w:r>
          </w:p>
          <w:p w14:paraId="5DCD0999" w14:textId="77777777" w:rsidR="00F048E5" w:rsidRPr="00F048E5" w:rsidRDefault="00F048E5" w:rsidP="00F048E5">
            <w:pPr>
              <w:widowControl/>
              <w:spacing w:before="100" w:beforeAutospacing="1" w:after="100" w:afterAutospacing="1"/>
              <w:rPr>
                <w:rFonts w:asciiTheme="minorHAnsi" w:hAnsiTheme="minorHAnsi" w:cstheme="minorHAnsi"/>
                <w:snapToGrid/>
                <w:color w:val="404040"/>
                <w:szCs w:val="24"/>
              </w:rPr>
            </w:pPr>
            <w:r w:rsidRPr="00F048E5">
              <w:rPr>
                <w:rFonts w:asciiTheme="minorHAnsi" w:hAnsiTheme="minorHAnsi" w:cstheme="minorHAnsi"/>
                <w:snapToGrid/>
                <w:color w:val="404040"/>
                <w:szCs w:val="24"/>
              </w:rPr>
              <w:t>We know that having a diverse workforce is not enough, we also need to build a culture of inclusion that leverages the strengths of all of our employees. From new hire orientation to management and leadership training to an online portal accessible to all employees, we focus on developing global mindsets, breaking unconscious bias and demonstrating the business case for diversity across the organization. </w:t>
            </w:r>
          </w:p>
          <w:p w14:paraId="1DF6247A" w14:textId="77777777" w:rsidR="00F048E5" w:rsidRPr="00F048E5" w:rsidRDefault="00F048E5" w:rsidP="00F048E5">
            <w:pPr>
              <w:widowControl/>
              <w:spacing w:before="100" w:beforeAutospacing="1" w:after="100" w:afterAutospacing="1"/>
              <w:rPr>
                <w:rFonts w:asciiTheme="minorHAnsi" w:hAnsiTheme="minorHAnsi" w:cstheme="minorHAnsi"/>
                <w:snapToGrid/>
                <w:color w:val="404040"/>
                <w:szCs w:val="24"/>
              </w:rPr>
            </w:pPr>
            <w:r w:rsidRPr="00F048E5">
              <w:rPr>
                <w:rFonts w:asciiTheme="minorHAnsi" w:hAnsiTheme="minorHAnsi" w:cstheme="minorHAnsi"/>
                <w:snapToGrid/>
                <w:color w:val="404040"/>
                <w:szCs w:val="24"/>
              </w:rPr>
              <w:t>Our Business Resource Groups are employee-led groups with chapters around the globe that create awareness and understanding of the diverse backgrounds and experiences represented throughout the business. These groups partner with the business to support professional development, assist with recruitment and retention, identify unique market opportunities and help drive business development.</w:t>
            </w:r>
          </w:p>
          <w:p w14:paraId="06E21365" w14:textId="35556271" w:rsidR="00F048E5" w:rsidRDefault="00F048E5" w:rsidP="00F048E5">
            <w:pPr>
              <w:widowControl/>
              <w:spacing w:before="100" w:beforeAutospacing="1" w:after="100" w:afterAutospacing="1"/>
              <w:rPr>
                <w:rFonts w:asciiTheme="minorHAnsi" w:hAnsiTheme="minorHAnsi" w:cstheme="minorHAnsi"/>
                <w:snapToGrid/>
                <w:color w:val="404040"/>
                <w:szCs w:val="24"/>
              </w:rPr>
            </w:pPr>
            <w:r w:rsidRPr="00F048E5">
              <w:rPr>
                <w:rFonts w:asciiTheme="minorHAnsi" w:hAnsiTheme="minorHAnsi" w:cstheme="minorHAnsi"/>
                <w:snapToGrid/>
                <w:color w:val="404040"/>
                <w:szCs w:val="24"/>
              </w:rPr>
              <w:t>These groups include: Asian Affinity Network, Black Employee Network, Early Careers Network, Global Disability Employee Network, Latino Employee Network, Pride at Work (for lesbian, gay, bisexual, transgender employees &amp; friends), Veterans Network and Women @ Thomson Reuters.</w:t>
            </w:r>
          </w:p>
          <w:p w14:paraId="65F82ED0" w14:textId="77777777" w:rsidR="00AB68BF" w:rsidRDefault="00AB68BF" w:rsidP="00AB68BF">
            <w:pPr>
              <w:widowControl/>
              <w:spacing w:before="100" w:beforeAutospacing="1" w:after="100" w:afterAutospacing="1"/>
              <w:rPr>
                <w:rFonts w:asciiTheme="minorHAnsi" w:hAnsiTheme="minorHAnsi" w:cstheme="minorHAnsi"/>
                <w:snapToGrid/>
                <w:color w:val="404040"/>
                <w:szCs w:val="24"/>
              </w:rPr>
            </w:pPr>
            <w:r w:rsidRPr="00AC0A69">
              <w:rPr>
                <w:rFonts w:asciiTheme="minorHAnsi" w:hAnsiTheme="minorHAnsi" w:cstheme="minorHAnsi"/>
                <w:snapToGrid/>
                <w:color w:val="404040"/>
                <w:szCs w:val="24"/>
              </w:rPr>
              <w:t>In 2020, we put increasing focus on our longstanding work in diversity and inclusion by setting clear representation goals for the company at the leadership level (director and above). As many companies have, we worked to form coalitions with our customers, denouncing racism publicly. We also extended our global diversity and inclusion strategy to embed this work in all we do</w:t>
            </w:r>
            <w:r>
              <w:rPr>
                <w:rFonts w:asciiTheme="minorHAnsi" w:hAnsiTheme="minorHAnsi" w:cstheme="minorHAnsi"/>
                <w:snapToGrid/>
                <w:color w:val="404040"/>
                <w:szCs w:val="24"/>
              </w:rPr>
              <w:t>.</w:t>
            </w:r>
          </w:p>
          <w:p w14:paraId="2A0ED093" w14:textId="16D25612" w:rsidR="00F048E5" w:rsidRDefault="00F048E5" w:rsidP="00F048E5">
            <w:pPr>
              <w:widowControl/>
              <w:spacing w:before="100" w:beforeAutospacing="1" w:after="100" w:afterAutospacing="1"/>
              <w:rPr>
                <w:rFonts w:asciiTheme="minorHAnsi" w:hAnsiTheme="minorHAnsi" w:cstheme="minorHAnsi"/>
                <w:snapToGrid/>
                <w:color w:val="404040"/>
                <w:szCs w:val="24"/>
              </w:rPr>
            </w:pPr>
            <w:r w:rsidRPr="00F048E5">
              <w:rPr>
                <w:rFonts w:asciiTheme="minorHAnsi" w:hAnsiTheme="minorHAnsi" w:cstheme="minorHAnsi"/>
                <w:snapToGrid/>
                <w:color w:val="404040"/>
                <w:szCs w:val="24"/>
              </w:rPr>
              <w:t>We support an annual review of our diversity and inclusion strategy through engagement surveys; industry benchmarks; the number of employees and managers trained on unconscious bias and inclusive behaviors; and measurement of key metrics of gender and ethnic representation throughout the business. We hold our managers accountable for diversity and inclusion through their annual performance review and we set aggressive goals for both quantitative and qualitative measurements. Our progress is shared annually with our CEO-chaired council and our board of directors.</w:t>
            </w:r>
          </w:p>
          <w:p w14:paraId="5F4C9E48" w14:textId="1BC63AC3" w:rsidR="009255C1" w:rsidRPr="00A2550B" w:rsidRDefault="004E4911" w:rsidP="0016214A">
            <w:pPr>
              <w:widowControl/>
              <w:spacing w:before="100" w:beforeAutospacing="1" w:after="100" w:afterAutospacing="1"/>
              <w:rPr>
                <w:rFonts w:asciiTheme="minorHAnsi" w:hAnsiTheme="minorHAnsi" w:cstheme="minorHAnsi"/>
                <w:szCs w:val="24"/>
              </w:rPr>
            </w:pPr>
            <w:r>
              <w:rPr>
                <w:rFonts w:asciiTheme="minorHAnsi" w:hAnsiTheme="minorHAnsi" w:cstheme="minorHAnsi"/>
                <w:snapToGrid/>
                <w:color w:val="404040"/>
                <w:szCs w:val="24"/>
              </w:rPr>
              <w:t>Please see</w:t>
            </w:r>
            <w:r w:rsidR="00155B0C">
              <w:rPr>
                <w:rFonts w:asciiTheme="minorHAnsi" w:hAnsiTheme="minorHAnsi" w:cstheme="minorHAnsi"/>
                <w:snapToGrid/>
                <w:color w:val="404040"/>
                <w:szCs w:val="24"/>
              </w:rPr>
              <w:t xml:space="preserve"> </w:t>
            </w:r>
            <w:hyperlink r:id="rId11" w:history="1">
              <w:r w:rsidR="00155B0C" w:rsidRPr="00155B0C">
                <w:rPr>
                  <w:rStyle w:val="Hyperlink"/>
                  <w:rFonts w:asciiTheme="minorHAnsi" w:hAnsiTheme="minorHAnsi" w:cstheme="minorHAnsi"/>
                  <w:snapToGrid/>
                  <w:szCs w:val="24"/>
                </w:rPr>
                <w:t>Awards &amp; recognition | Thomson Reuters</w:t>
              </w:r>
            </w:hyperlink>
            <w:r w:rsidR="00155B0C">
              <w:rPr>
                <w:rFonts w:asciiTheme="minorHAnsi" w:hAnsiTheme="minorHAnsi" w:cstheme="minorHAnsi"/>
                <w:snapToGrid/>
                <w:color w:val="404040"/>
                <w:szCs w:val="24"/>
              </w:rPr>
              <w:t xml:space="preserve"> for </w:t>
            </w:r>
            <w:r w:rsidR="008C16F1">
              <w:rPr>
                <w:rFonts w:asciiTheme="minorHAnsi" w:hAnsiTheme="minorHAnsi" w:cstheme="minorHAnsi"/>
                <w:snapToGrid/>
                <w:color w:val="404040"/>
                <w:szCs w:val="24"/>
              </w:rPr>
              <w:t xml:space="preserve">information about the awards and recognition, including for diversity. For example, </w:t>
            </w:r>
            <w:r w:rsidR="00856872">
              <w:rPr>
                <w:rFonts w:asciiTheme="minorHAnsi" w:hAnsiTheme="minorHAnsi" w:cstheme="minorHAnsi"/>
                <w:snapToGrid/>
                <w:color w:val="404040"/>
                <w:szCs w:val="24"/>
              </w:rPr>
              <w:t>in</w:t>
            </w:r>
            <w:r w:rsidR="00856872" w:rsidRPr="00856872">
              <w:rPr>
                <w:rFonts w:asciiTheme="minorHAnsi" w:hAnsiTheme="minorHAnsi" w:cstheme="minorHAnsi"/>
                <w:snapToGrid/>
                <w:color w:val="404040"/>
                <w:szCs w:val="24"/>
              </w:rPr>
              <w:t xml:space="preserve"> 2020 and 2021, Thomson Reuters was listed as one of </w:t>
            </w:r>
            <w:hyperlink r:id="rId12" w:tooltip="America’s Best Employers For Diversity" w:history="1">
              <w:r w:rsidR="00856872" w:rsidRPr="00856872">
                <w:rPr>
                  <w:rStyle w:val="Hyperlink"/>
                  <w:rFonts w:asciiTheme="minorHAnsi" w:hAnsiTheme="minorHAnsi" w:cstheme="minorHAnsi"/>
                  <w:snapToGrid/>
                  <w:szCs w:val="24"/>
                </w:rPr>
                <w:t>America’s Best Employers For Diversity</w:t>
              </w:r>
            </w:hyperlink>
            <w:r w:rsidR="00856872" w:rsidRPr="00856872">
              <w:rPr>
                <w:rFonts w:asciiTheme="minorHAnsi" w:hAnsiTheme="minorHAnsi" w:cstheme="minorHAnsi"/>
                <w:snapToGrid/>
                <w:color w:val="404040"/>
                <w:szCs w:val="24"/>
              </w:rPr>
              <w:t xml:space="preserve"> by </w:t>
            </w:r>
            <w:r w:rsidR="00856872" w:rsidRPr="00856872">
              <w:rPr>
                <w:rFonts w:asciiTheme="minorHAnsi" w:hAnsiTheme="minorHAnsi" w:cstheme="minorHAnsi"/>
                <w:snapToGrid/>
                <w:color w:val="404040"/>
                <w:szCs w:val="24"/>
              </w:rPr>
              <w:lastRenderedPageBreak/>
              <w:t>Forbes. The ranking was compiled by surveying 50,000 Americans working for businesses with at least 1,000 employees and pinpoint the companies they identified as being most dedicated to diversity, equity, and inclusion.</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3F1D1B8A"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4DD32BEB" w14:textId="2F715ECE" w:rsidR="00DC7CB1" w:rsidRDefault="00DE1215" w:rsidP="00FD364C">
            <w:pPr>
              <w:rPr>
                <w:rFonts w:asciiTheme="minorHAnsi" w:hAnsiTheme="minorHAnsi" w:cstheme="minorHAnsi"/>
                <w:szCs w:val="24"/>
              </w:rPr>
            </w:pPr>
            <w:r>
              <w:rPr>
                <w:rFonts w:asciiTheme="minorHAnsi" w:hAnsiTheme="minorHAnsi" w:cstheme="minorHAnsi"/>
                <w:szCs w:val="24"/>
              </w:rPr>
              <w:t xml:space="preserve">Please see: </w:t>
            </w:r>
            <w:hyperlink r:id="rId13" w:history="1">
              <w:r w:rsidRPr="00B03359">
                <w:rPr>
                  <w:rStyle w:val="Hyperlink"/>
                  <w:rFonts w:asciiTheme="minorHAnsi" w:hAnsiTheme="minorHAnsi" w:cstheme="minorHAnsi"/>
                  <w:szCs w:val="24"/>
                </w:rPr>
                <w:t>Annual Reports | Financial Information | Investor Relations | Thomson Reuters</w:t>
              </w:r>
            </w:hyperlink>
            <w:r>
              <w:rPr>
                <w:rFonts w:asciiTheme="minorHAnsi" w:hAnsiTheme="minorHAnsi" w:cstheme="minorHAnsi"/>
                <w:szCs w:val="24"/>
              </w:rPr>
              <w:t xml:space="preserve">. </w:t>
            </w:r>
            <w:r w:rsidR="005F7AEE">
              <w:rPr>
                <w:rFonts w:asciiTheme="minorHAnsi" w:hAnsiTheme="minorHAnsi" w:cstheme="minorHAnsi"/>
                <w:szCs w:val="24"/>
              </w:rPr>
              <w:t xml:space="preserve"> </w:t>
            </w:r>
            <w:r w:rsidR="00DC7CB1">
              <w:rPr>
                <w:rFonts w:asciiTheme="minorHAnsi" w:hAnsiTheme="minorHAnsi" w:cstheme="minorHAnsi"/>
                <w:szCs w:val="24"/>
              </w:rPr>
              <w:t>Within the report, t</w:t>
            </w:r>
            <w:r w:rsidR="00AB7B9F">
              <w:rPr>
                <w:rFonts w:asciiTheme="minorHAnsi" w:hAnsiTheme="minorHAnsi" w:cstheme="minorHAnsi"/>
                <w:szCs w:val="24"/>
              </w:rPr>
              <w:t xml:space="preserve">he Legal business is pertinent to </w:t>
            </w:r>
            <w:r w:rsidR="00DC7CB1">
              <w:rPr>
                <w:rFonts w:asciiTheme="minorHAnsi" w:hAnsiTheme="minorHAnsi" w:cstheme="minorHAnsi"/>
                <w:szCs w:val="24"/>
              </w:rPr>
              <w:t xml:space="preserve"> West and </w:t>
            </w:r>
            <w:r w:rsidR="00AB7B9F">
              <w:rPr>
                <w:rFonts w:asciiTheme="minorHAnsi" w:hAnsiTheme="minorHAnsi" w:cstheme="minorHAnsi"/>
                <w:szCs w:val="24"/>
              </w:rPr>
              <w:t xml:space="preserve">this contract. </w:t>
            </w:r>
          </w:p>
          <w:p w14:paraId="32B14F68" w14:textId="77777777" w:rsidR="00DC7CB1" w:rsidRDefault="00DC7CB1" w:rsidP="00FD364C">
            <w:pPr>
              <w:rPr>
                <w:rFonts w:asciiTheme="minorHAnsi" w:hAnsiTheme="minorHAnsi" w:cstheme="minorHAnsi"/>
                <w:szCs w:val="24"/>
              </w:rPr>
            </w:pPr>
          </w:p>
          <w:p w14:paraId="70D948E7" w14:textId="3948A366" w:rsidR="00FD364C" w:rsidRPr="00FD364C" w:rsidRDefault="005F7AEE" w:rsidP="00FD364C">
            <w:pPr>
              <w:rPr>
                <w:rFonts w:asciiTheme="minorHAnsi" w:hAnsiTheme="minorHAnsi" w:cstheme="minorHAnsi"/>
                <w:szCs w:val="24"/>
              </w:rPr>
            </w:pPr>
            <w:r>
              <w:rPr>
                <w:rFonts w:asciiTheme="minorHAnsi" w:hAnsiTheme="minorHAnsi" w:cstheme="minorHAnsi"/>
                <w:szCs w:val="24"/>
              </w:rPr>
              <w:t>Please note that t</w:t>
            </w:r>
            <w:r w:rsidRPr="005F7AEE">
              <w:rPr>
                <w:rFonts w:asciiTheme="minorHAnsi" w:hAnsiTheme="minorHAnsi" w:cstheme="minorHAnsi"/>
                <w:szCs w:val="24"/>
              </w:rPr>
              <w:t xml:space="preserve">he Dun and Bradstreet Terms of Use do not allow us to share a report.  The following is the pertinent language: “You agree not to reproduce, retransmit, distribute, disseminate, sell, publish, broadcast, or circulate the information received through the Service to anyone without the express prior written consent of Dun &amp; Bradstreet. Copying and distributing the Services to third parties is forbidden.” The terms of use are here:  </w:t>
            </w:r>
            <w:hyperlink r:id="rId14" w:history="1">
              <w:r w:rsidRPr="005F7AEE">
                <w:rPr>
                  <w:rStyle w:val="Hyperlink"/>
                  <w:rFonts w:asciiTheme="minorHAnsi" w:hAnsiTheme="minorHAnsi" w:cstheme="minorHAnsi"/>
                  <w:szCs w:val="24"/>
                </w:rPr>
                <w:t>https://www.dnb.com/utility-pages/terms-of-use.html</w:t>
              </w:r>
            </w:hyperlink>
            <w:r w:rsidRPr="005F7AEE">
              <w:rPr>
                <w:rFonts w:asciiTheme="minorHAnsi" w:hAnsiTheme="minorHAnsi" w:cstheme="minorHAnsi"/>
                <w:szCs w:val="24"/>
              </w:rPr>
              <w:t> </w:t>
            </w:r>
            <w:r w:rsidR="00AB7B9F">
              <w:rPr>
                <w:rFonts w:asciiTheme="minorHAnsi" w:hAnsiTheme="minorHAnsi" w:cstheme="minorHAnsi"/>
                <w:szCs w:val="24"/>
              </w:rPr>
              <w:t>.</w:t>
            </w:r>
            <w:r w:rsidR="00FD364C">
              <w:rPr>
                <w:rFonts w:asciiTheme="minorHAnsi" w:hAnsiTheme="minorHAnsi" w:cstheme="minorHAnsi"/>
                <w:szCs w:val="24"/>
              </w:rPr>
              <w:t xml:space="preserve"> </w:t>
            </w:r>
            <w:r w:rsidR="00FD364C" w:rsidRPr="00FD364C">
              <w:rPr>
                <w:rFonts w:asciiTheme="minorHAnsi" w:hAnsiTheme="minorHAnsi" w:cstheme="minorHAnsi"/>
                <w:szCs w:val="24"/>
              </w:rPr>
              <w:t>Therefore, if you would like a Dun and Bradstreet report on us, you will need to order it directly. We apologize for the inconvenience.</w:t>
            </w:r>
          </w:p>
          <w:p w14:paraId="0772C468" w14:textId="40E96E13"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076DE789" w:rsidR="0009502C"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33A4" w:rsidRPr="00A2550B" w14:paraId="2652A4AA" w14:textId="77777777" w:rsidTr="00164F5D">
        <w:tc>
          <w:tcPr>
            <w:tcW w:w="8856" w:type="dxa"/>
            <w:shd w:val="clear" w:color="auto" w:fill="FFFF99"/>
          </w:tcPr>
          <w:p w14:paraId="45B405E3" w14:textId="1F02857C" w:rsidR="000033A4" w:rsidRPr="00A2550B" w:rsidRDefault="0045188D" w:rsidP="00164F5D">
            <w:pPr>
              <w:rPr>
                <w:rFonts w:asciiTheme="minorHAnsi" w:hAnsiTheme="minorHAnsi" w:cstheme="minorHAnsi"/>
                <w:szCs w:val="24"/>
              </w:rPr>
            </w:pPr>
            <w:r>
              <w:rPr>
                <w:rFonts w:asciiTheme="minorHAnsi" w:hAnsiTheme="minorHAnsi" w:cstheme="minorHAnsi"/>
                <w:szCs w:val="24"/>
              </w:rPr>
              <w:t xml:space="preserve">Our CEO and CFO accept responsibility for the </w:t>
            </w:r>
            <w:r w:rsidR="00B33C36">
              <w:rPr>
                <w:rFonts w:asciiTheme="minorHAnsi" w:hAnsiTheme="minorHAnsi" w:cstheme="minorHAnsi"/>
                <w:szCs w:val="24"/>
              </w:rPr>
              <w:t>thoroughness and correctness of the company’s financial information</w:t>
            </w:r>
            <w:r w:rsidR="0017503A">
              <w:rPr>
                <w:rFonts w:asciiTheme="minorHAnsi" w:hAnsiTheme="minorHAnsi" w:cstheme="minorHAnsi"/>
                <w:szCs w:val="24"/>
              </w:rPr>
              <w:t>, including as referenced in this proposal</w:t>
            </w:r>
            <w:r w:rsidR="00B33C36">
              <w:rPr>
                <w:rFonts w:asciiTheme="minorHAnsi" w:hAnsiTheme="minorHAnsi" w:cstheme="minorHAnsi"/>
                <w:szCs w:val="24"/>
              </w:rPr>
              <w:t>.</w:t>
            </w:r>
            <w:r w:rsidR="00AB2C7D">
              <w:rPr>
                <w:rFonts w:asciiTheme="minorHAnsi" w:hAnsiTheme="minorHAnsi" w:cstheme="minorHAnsi"/>
                <w:szCs w:val="24"/>
              </w:rPr>
              <w:t xml:space="preserve"> </w:t>
            </w:r>
            <w:r w:rsidR="005222FA">
              <w:rPr>
                <w:rFonts w:asciiTheme="minorHAnsi" w:hAnsiTheme="minorHAnsi" w:cstheme="minorHAnsi"/>
                <w:szCs w:val="24"/>
              </w:rPr>
              <w:t xml:space="preserve">The </w:t>
            </w:r>
            <w:r w:rsidR="005222FA">
              <w:rPr>
                <w:rFonts w:asciiTheme="minorHAnsi" w:hAnsiTheme="minorHAnsi" w:cstheme="minorHAnsi"/>
                <w:szCs w:val="24"/>
              </w:rPr>
              <w:lastRenderedPageBreak/>
              <w:t>following statement</w:t>
            </w:r>
            <w:r w:rsidR="000E685A">
              <w:rPr>
                <w:rFonts w:asciiTheme="minorHAnsi" w:hAnsiTheme="minorHAnsi" w:cstheme="minorHAnsi"/>
                <w:szCs w:val="24"/>
              </w:rPr>
              <w:t xml:space="preserve"> accompanies our consolidated financial statements as part of our annual report and is signed by both the CEO and the CFO as </w:t>
            </w:r>
            <w:r w:rsidR="00FB6174">
              <w:rPr>
                <w:rFonts w:asciiTheme="minorHAnsi" w:hAnsiTheme="minorHAnsi" w:cstheme="minorHAnsi"/>
                <w:szCs w:val="24"/>
              </w:rPr>
              <w:t>acknowledgement</w:t>
            </w:r>
            <w:r w:rsidR="000E685A">
              <w:rPr>
                <w:rFonts w:asciiTheme="minorHAnsi" w:hAnsiTheme="minorHAnsi" w:cstheme="minorHAnsi"/>
                <w:szCs w:val="24"/>
              </w:rPr>
              <w:t xml:space="preserve"> of their </w:t>
            </w:r>
            <w:r w:rsidR="00D63CFE">
              <w:rPr>
                <w:rFonts w:asciiTheme="minorHAnsi" w:hAnsiTheme="minorHAnsi" w:cstheme="minorHAnsi"/>
                <w:szCs w:val="24"/>
              </w:rPr>
              <w:t xml:space="preserve">responsibility in ensuring the integrity of the financials and related processes: </w:t>
            </w:r>
            <w:r w:rsidR="00D63CFE" w:rsidRPr="00D63CFE">
              <w:rPr>
                <w:rFonts w:asciiTheme="minorHAnsi" w:hAnsiTheme="minorHAnsi" w:cstheme="minorHAnsi"/>
                <w:szCs w:val="24"/>
              </w:rPr>
              <w:t>The management of Thomson Reuters Corporation (the “Company”) is the accompanying consolidated financial statements and other information included in this annual report. The financial statements have been prepared in conformity with International Financial Reporting Standards, as issued by the International Accounting Standards Board, using the best estimates and judgments of management, where appropriate. Information presented elsewhere in this annual report is consistent with that in the financial statements. The Company’s board of directors is responsible for ensuring that management fulfills its responsibilities in respect of financial reporting and internal control. The Audit Committee of the board of directors meets periodically with management and the Company’s independent auditor to discuss auditing matters and financial reporting issues. In addition, the Audit Committee approves the interim consolidated financial statements and recommends to the board of directors the approval of the annual consolidated financial statements and the annual appointment of the independent auditor. The board of directors has approved the information contained in the accompanying consolidated financial statements</w:t>
            </w:r>
            <w:r w:rsidR="002A3CD9">
              <w:rPr>
                <w:rFonts w:asciiTheme="minorHAnsi" w:hAnsiTheme="minorHAnsi" w:cstheme="minorHAnsi"/>
                <w:szCs w:val="24"/>
              </w:rPr>
              <w:t xml:space="preserve">. Please see the annual reports for detailed information: </w:t>
            </w:r>
            <w:hyperlink r:id="rId15" w:history="1">
              <w:r w:rsidR="00F40AC3" w:rsidRPr="00F40AC3">
                <w:rPr>
                  <w:rStyle w:val="Hyperlink"/>
                  <w:rFonts w:asciiTheme="minorHAnsi" w:hAnsiTheme="minorHAnsi" w:cstheme="minorHAnsi"/>
                  <w:szCs w:val="24"/>
                </w:rPr>
                <w:t>Annual Reports | Financial Information | Investor Relations | Thomson Reuters</w:t>
              </w:r>
            </w:hyperlink>
            <w:r w:rsidR="00F40AC3">
              <w:rPr>
                <w:rFonts w:asciiTheme="minorHAnsi" w:hAnsiTheme="minorHAnsi" w:cstheme="minorHAnsi"/>
                <w:szCs w:val="24"/>
              </w:rPr>
              <w:t>,</w:t>
            </w:r>
          </w:p>
        </w:tc>
      </w:tr>
    </w:tbl>
    <w:p w14:paraId="643F01E5" w14:textId="77777777" w:rsidR="006405E9" w:rsidRPr="00A2550B" w:rsidRDefault="006405E9" w:rsidP="0009502C">
      <w:pPr>
        <w:rPr>
          <w:rFonts w:asciiTheme="minorHAnsi" w:hAnsiTheme="minorHAnsi" w:cstheme="minorHAnsi"/>
          <w:szCs w:val="24"/>
        </w:rPr>
      </w:pPr>
    </w:p>
    <w:p w14:paraId="75AD36B8" w14:textId="65979ECB" w:rsidR="0009502C"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0B4021">
        <w:rPr>
          <w:rFonts w:asciiTheme="minorHAnsi" w:hAnsiTheme="minorHAnsi" w:cstheme="minorHAnsi"/>
          <w:szCs w:val="24"/>
        </w:rPr>
        <w:t xml:space="preserve"> Additional rows may be added if necessary.</w:t>
      </w:r>
    </w:p>
    <w:p w14:paraId="04B3AFA3" w14:textId="4D835E43" w:rsidR="00DC3CFD" w:rsidRDefault="00DC3CFD" w:rsidP="00DC3CFD">
      <w:pPr>
        <w:widowControl/>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615"/>
        <w:gridCol w:w="3784"/>
        <w:gridCol w:w="2231"/>
      </w:tblGrid>
      <w:tr w:rsidR="000D0BE8" w:rsidRPr="000D0BE8" w14:paraId="4709662F" w14:textId="77777777" w:rsidTr="00545A6D">
        <w:tc>
          <w:tcPr>
            <w:tcW w:w="3191" w:type="dxa"/>
            <w:shd w:val="clear" w:color="auto" w:fill="D9D9D9" w:themeFill="background1" w:themeFillShade="D9"/>
          </w:tcPr>
          <w:p w14:paraId="7EC5A632" w14:textId="77777777" w:rsidR="000D0BE8" w:rsidRPr="000D0BE8" w:rsidRDefault="000D0BE8" w:rsidP="000D0BE8">
            <w:pPr>
              <w:widowControl/>
              <w:rPr>
                <w:rFonts w:asciiTheme="minorHAnsi" w:hAnsiTheme="minorHAnsi" w:cstheme="minorHAnsi"/>
                <w:b/>
                <w:bCs/>
                <w:szCs w:val="24"/>
              </w:rPr>
            </w:pPr>
            <w:r w:rsidRPr="000D0BE8">
              <w:rPr>
                <w:rFonts w:asciiTheme="minorHAnsi" w:hAnsiTheme="minorHAnsi" w:cstheme="minorHAnsi"/>
                <w:b/>
                <w:bCs/>
                <w:szCs w:val="24"/>
              </w:rPr>
              <w:t>Contract Term</w:t>
            </w:r>
          </w:p>
          <w:p w14:paraId="7F85BBBB"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b/>
                <w:bCs/>
                <w:szCs w:val="24"/>
              </w:rPr>
              <w:t>Identifier and Header</w:t>
            </w:r>
          </w:p>
        </w:tc>
        <w:tc>
          <w:tcPr>
            <w:tcW w:w="3082" w:type="dxa"/>
            <w:shd w:val="clear" w:color="auto" w:fill="D9D9D9" w:themeFill="background1" w:themeFillShade="D9"/>
          </w:tcPr>
          <w:p w14:paraId="487FE09B"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b/>
                <w:bCs/>
                <w:szCs w:val="24"/>
              </w:rPr>
              <w:t>Suggested Language Change</w:t>
            </w:r>
          </w:p>
        </w:tc>
        <w:tc>
          <w:tcPr>
            <w:tcW w:w="3077" w:type="dxa"/>
            <w:shd w:val="clear" w:color="auto" w:fill="D9D9D9" w:themeFill="background1" w:themeFillShade="D9"/>
          </w:tcPr>
          <w:p w14:paraId="6CD874E5"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b/>
                <w:bCs/>
                <w:szCs w:val="24"/>
              </w:rPr>
              <w:t>Rationale for suggested change</w:t>
            </w:r>
          </w:p>
        </w:tc>
      </w:tr>
      <w:tr w:rsidR="000D0BE8" w:rsidRPr="000D0BE8" w14:paraId="7302F14D" w14:textId="77777777" w:rsidTr="00545A6D">
        <w:tc>
          <w:tcPr>
            <w:tcW w:w="3191" w:type="dxa"/>
            <w:shd w:val="clear" w:color="auto" w:fill="FFFF99"/>
          </w:tcPr>
          <w:p w14:paraId="4EA1EF9E" w14:textId="77777777" w:rsidR="000D0BE8" w:rsidRPr="000D0BE8" w:rsidRDefault="000D0BE8" w:rsidP="000D0BE8">
            <w:pPr>
              <w:widowControl/>
              <w:rPr>
                <w:rFonts w:asciiTheme="minorHAnsi" w:hAnsiTheme="minorHAnsi" w:cstheme="minorHAnsi"/>
                <w:b/>
                <w:bCs/>
                <w:szCs w:val="24"/>
              </w:rPr>
            </w:pPr>
            <w:r w:rsidRPr="000D0BE8">
              <w:rPr>
                <w:rFonts w:asciiTheme="minorHAnsi" w:hAnsiTheme="minorHAnsi" w:cstheme="minorHAnsi"/>
                <w:b/>
                <w:bCs/>
                <w:szCs w:val="24"/>
              </w:rPr>
              <w:t xml:space="preserve">2. </w:t>
            </w:r>
            <w:r w:rsidRPr="000D0BE8">
              <w:rPr>
                <w:rFonts w:asciiTheme="minorHAnsi" w:hAnsiTheme="minorHAnsi" w:cstheme="minorHAnsi"/>
                <w:b/>
                <w:bCs/>
                <w:szCs w:val="24"/>
              </w:rPr>
              <w:tab/>
              <w:t>Form Contract/Duties of Contractor.</w:t>
            </w:r>
          </w:p>
          <w:p w14:paraId="3572525F" w14:textId="77777777" w:rsidR="000D0BE8" w:rsidRPr="000D0BE8" w:rsidRDefault="000D0BE8" w:rsidP="000D0BE8">
            <w:pPr>
              <w:widowControl/>
              <w:rPr>
                <w:rFonts w:asciiTheme="minorHAnsi" w:hAnsiTheme="minorHAnsi" w:cstheme="minorHAnsi"/>
                <w:b/>
                <w:bCs/>
                <w:szCs w:val="24"/>
              </w:rPr>
            </w:pPr>
          </w:p>
          <w:p w14:paraId="7DCED568"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D.</w:t>
            </w:r>
            <w:r w:rsidRPr="000D0BE8">
              <w:rPr>
                <w:rFonts w:asciiTheme="minorHAnsi" w:hAnsiTheme="minorHAnsi" w:cstheme="minorHAnsi"/>
                <w:szCs w:val="24"/>
              </w:rPr>
              <w:tab/>
            </w:r>
            <w:r w:rsidRPr="000D0BE8">
              <w:rPr>
                <w:rFonts w:asciiTheme="minorHAnsi" w:hAnsiTheme="minorHAnsi" w:cstheme="minorHAnsi"/>
                <w:szCs w:val="24"/>
                <w:u w:val="single"/>
              </w:rPr>
              <w:t>Comprehensive Child Welfare System (“CCWIS”) Compliance.</w:t>
            </w:r>
          </w:p>
        </w:tc>
        <w:tc>
          <w:tcPr>
            <w:tcW w:w="3082" w:type="dxa"/>
            <w:shd w:val="clear" w:color="auto" w:fill="FFFF99"/>
          </w:tcPr>
          <w:p w14:paraId="02DE0141"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Delete entirely</w:t>
            </w:r>
          </w:p>
        </w:tc>
        <w:tc>
          <w:tcPr>
            <w:tcW w:w="3077" w:type="dxa"/>
            <w:shd w:val="clear" w:color="auto" w:fill="FFFF99"/>
          </w:tcPr>
          <w:p w14:paraId="19E2C181" w14:textId="15681554"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We request that this provision be struck as we will not be holding any of the Department’s data.  The Department will be inputting its own searches against our database.  This was struck in the prior contract</w:t>
            </w:r>
            <w:r w:rsidR="009577EA">
              <w:rPr>
                <w:rFonts w:asciiTheme="minorHAnsi" w:hAnsiTheme="minorHAnsi" w:cstheme="minorHAnsi"/>
                <w:szCs w:val="24"/>
              </w:rPr>
              <w:t>.</w:t>
            </w:r>
          </w:p>
          <w:p w14:paraId="2B262FC2" w14:textId="77777777" w:rsidR="000D0BE8" w:rsidRPr="000D0BE8" w:rsidRDefault="000D0BE8" w:rsidP="000D0BE8">
            <w:pPr>
              <w:widowControl/>
              <w:rPr>
                <w:rFonts w:asciiTheme="minorHAnsi" w:hAnsiTheme="minorHAnsi" w:cstheme="minorHAnsi"/>
                <w:szCs w:val="24"/>
              </w:rPr>
            </w:pPr>
          </w:p>
        </w:tc>
      </w:tr>
      <w:tr w:rsidR="000D0BE8" w:rsidRPr="000D0BE8" w14:paraId="423C5334" w14:textId="77777777" w:rsidTr="00545A6D">
        <w:tc>
          <w:tcPr>
            <w:tcW w:w="3191" w:type="dxa"/>
            <w:shd w:val="clear" w:color="auto" w:fill="FFFF99"/>
          </w:tcPr>
          <w:p w14:paraId="52F01048" w14:textId="77777777" w:rsidR="000D0BE8" w:rsidRPr="000D0BE8" w:rsidRDefault="000D0BE8" w:rsidP="000D0BE8">
            <w:pPr>
              <w:widowControl/>
              <w:rPr>
                <w:rFonts w:asciiTheme="minorHAnsi" w:hAnsiTheme="minorHAnsi" w:cstheme="minorHAnsi"/>
                <w:b/>
                <w:bCs/>
                <w:szCs w:val="24"/>
              </w:rPr>
            </w:pPr>
            <w:r w:rsidRPr="000D0BE8">
              <w:rPr>
                <w:rFonts w:asciiTheme="minorHAnsi" w:hAnsiTheme="minorHAnsi" w:cstheme="minorHAnsi"/>
                <w:b/>
                <w:bCs/>
                <w:szCs w:val="24"/>
              </w:rPr>
              <w:t xml:space="preserve">6.  </w:t>
            </w:r>
            <w:r w:rsidRPr="000D0BE8">
              <w:rPr>
                <w:rFonts w:asciiTheme="minorHAnsi" w:hAnsiTheme="minorHAnsi" w:cstheme="minorHAnsi"/>
                <w:b/>
                <w:bCs/>
                <w:szCs w:val="24"/>
              </w:rPr>
              <w:tab/>
              <w:t>Assignment; Successors; and Subcontracting - Modified</w:t>
            </w:r>
          </w:p>
          <w:p w14:paraId="5EAD76FE" w14:textId="77777777" w:rsidR="000D0BE8" w:rsidRPr="000D0BE8" w:rsidRDefault="000D0BE8" w:rsidP="000D0BE8">
            <w:pPr>
              <w:widowControl/>
              <w:rPr>
                <w:rFonts w:asciiTheme="minorHAnsi" w:hAnsiTheme="minorHAnsi" w:cstheme="minorHAnsi"/>
                <w:szCs w:val="24"/>
              </w:rPr>
            </w:pPr>
          </w:p>
        </w:tc>
        <w:tc>
          <w:tcPr>
            <w:tcW w:w="3082" w:type="dxa"/>
            <w:shd w:val="clear" w:color="auto" w:fill="FFFF99"/>
          </w:tcPr>
          <w:p w14:paraId="3FBACA23" w14:textId="77777777" w:rsidR="000D0BE8" w:rsidRPr="000D0BE8" w:rsidRDefault="000D0BE8" w:rsidP="000D0BE8">
            <w:pPr>
              <w:widowControl/>
              <w:numPr>
                <w:ilvl w:val="0"/>
                <w:numId w:val="26"/>
              </w:numPr>
              <w:rPr>
                <w:rFonts w:asciiTheme="minorHAnsi" w:hAnsiTheme="minorHAnsi" w:cstheme="minorHAnsi"/>
                <w:szCs w:val="24"/>
              </w:rPr>
            </w:pPr>
            <w:r w:rsidRPr="000D0BE8">
              <w:rPr>
                <w:rFonts w:asciiTheme="minorHAnsi" w:hAnsiTheme="minorHAnsi" w:cstheme="minorHAnsi"/>
                <w:szCs w:val="24"/>
              </w:rPr>
              <w:t>The Contractor binds its successors and assignees to all the terms and conditions of this Contract.</w:t>
            </w:r>
          </w:p>
          <w:p w14:paraId="7BE96EB6"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 xml:space="preserve">The Contractor may assign its right to receive payments to such third </w:t>
            </w:r>
            <w:r w:rsidRPr="000D0BE8">
              <w:rPr>
                <w:rFonts w:asciiTheme="minorHAnsi" w:hAnsiTheme="minorHAnsi" w:cstheme="minorHAnsi"/>
                <w:szCs w:val="24"/>
              </w:rPr>
              <w:lastRenderedPageBreak/>
              <w:t xml:space="preserve">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(1) party.   </w:t>
            </w:r>
          </w:p>
          <w:p w14:paraId="45493FB1" w14:textId="77777777" w:rsidR="000D0BE8" w:rsidRPr="000D0BE8" w:rsidRDefault="000D0BE8" w:rsidP="000D0BE8">
            <w:pPr>
              <w:widowControl/>
              <w:rPr>
                <w:rFonts w:asciiTheme="minorHAnsi" w:hAnsiTheme="minorHAnsi" w:cstheme="minorHAnsi"/>
                <w:szCs w:val="24"/>
              </w:rPr>
            </w:pPr>
          </w:p>
          <w:p w14:paraId="261D41A5" w14:textId="77777777" w:rsidR="000D0BE8" w:rsidRPr="000D0BE8" w:rsidRDefault="000D0BE8" w:rsidP="000D0BE8">
            <w:pPr>
              <w:widowControl/>
              <w:numPr>
                <w:ilvl w:val="0"/>
                <w:numId w:val="26"/>
              </w:numPr>
              <w:rPr>
                <w:rFonts w:asciiTheme="minorHAnsi" w:hAnsiTheme="minorHAnsi" w:cstheme="minorHAnsi"/>
                <w:szCs w:val="24"/>
              </w:rPr>
            </w:pPr>
            <w:r w:rsidRPr="000D0BE8">
              <w:rPr>
                <w:rFonts w:asciiTheme="minorHAnsi" w:hAnsiTheme="minorHAnsi" w:cstheme="minorHAnsi"/>
                <w:szCs w:val="24"/>
              </w:rPr>
              <w:t xml:space="preserve">The Contractor shall not assign or subcontract the whole or any part of this Contract without the </w:t>
            </w:r>
          </w:p>
          <w:p w14:paraId="4B6C1056"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State’s prior written consent.  Additionally, the Contractor shall provide prompt written notice to the State of any change in the Contractor’s legal name or legal status so that the changes may be documented and payments to the successor entity may be made.  Notwithstanding, West may assign this contract to successor entity of all, or substantially all, of West’s assets.</w:t>
            </w:r>
          </w:p>
          <w:p w14:paraId="0BBB9254" w14:textId="77777777" w:rsidR="000D0BE8" w:rsidRPr="000D0BE8" w:rsidRDefault="000D0BE8" w:rsidP="000D0BE8">
            <w:pPr>
              <w:widowControl/>
              <w:rPr>
                <w:rFonts w:asciiTheme="minorHAnsi" w:hAnsiTheme="minorHAnsi" w:cstheme="minorHAnsi"/>
                <w:szCs w:val="24"/>
              </w:rPr>
            </w:pPr>
          </w:p>
        </w:tc>
        <w:tc>
          <w:tcPr>
            <w:tcW w:w="3077" w:type="dxa"/>
            <w:shd w:val="clear" w:color="auto" w:fill="FFFF99"/>
          </w:tcPr>
          <w:p w14:paraId="35E96740" w14:textId="761D7AF9"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lastRenderedPageBreak/>
              <w:t xml:space="preserve">West does not use subcontractors for any portion of its contractual obligations.  As a result, much of the </w:t>
            </w:r>
            <w:r w:rsidRPr="000D0BE8">
              <w:rPr>
                <w:rFonts w:asciiTheme="minorHAnsi" w:hAnsiTheme="minorHAnsi" w:cstheme="minorHAnsi"/>
                <w:szCs w:val="24"/>
              </w:rPr>
              <w:lastRenderedPageBreak/>
              <w:t xml:space="preserve">language is not applicable and acceptable to west.  However, as part of </w:t>
            </w:r>
            <w:r w:rsidR="00304F46">
              <w:rPr>
                <w:rFonts w:asciiTheme="minorHAnsi" w:hAnsiTheme="minorHAnsi" w:cstheme="minorHAnsi"/>
                <w:szCs w:val="24"/>
              </w:rPr>
              <w:t xml:space="preserve">a </w:t>
            </w:r>
            <w:r w:rsidRPr="000D0BE8">
              <w:rPr>
                <w:rFonts w:asciiTheme="minorHAnsi" w:hAnsiTheme="minorHAnsi" w:cstheme="minorHAnsi"/>
                <w:szCs w:val="24"/>
              </w:rPr>
              <w:t>large corporation, the possibility always exists for reorganization.  Consequently, West proposes the following addition to section B, and the deletion of Section C (as in the prior contract) to address a scenario of a corporate restructuring or divestiture without allowing unapproved subcontractors to perform contractual obligations.</w:t>
            </w:r>
          </w:p>
          <w:p w14:paraId="562AC7B5" w14:textId="77777777" w:rsidR="000D0BE8" w:rsidRPr="000D0BE8" w:rsidRDefault="000D0BE8" w:rsidP="000D0BE8">
            <w:pPr>
              <w:widowControl/>
              <w:rPr>
                <w:rFonts w:asciiTheme="minorHAnsi" w:hAnsiTheme="minorHAnsi" w:cstheme="minorHAnsi"/>
                <w:szCs w:val="24"/>
              </w:rPr>
            </w:pPr>
          </w:p>
        </w:tc>
      </w:tr>
      <w:tr w:rsidR="000D0BE8" w:rsidRPr="000D0BE8" w14:paraId="3649BE15" w14:textId="77777777" w:rsidTr="00545A6D">
        <w:tc>
          <w:tcPr>
            <w:tcW w:w="3191" w:type="dxa"/>
            <w:shd w:val="clear" w:color="auto" w:fill="FFFF99"/>
          </w:tcPr>
          <w:p w14:paraId="1F50D3AD" w14:textId="77777777" w:rsidR="000D0BE8" w:rsidRPr="000D0BE8" w:rsidRDefault="000D0BE8" w:rsidP="000D0BE8">
            <w:pPr>
              <w:widowControl/>
              <w:rPr>
                <w:rFonts w:asciiTheme="minorHAnsi" w:hAnsiTheme="minorHAnsi" w:cstheme="minorHAnsi"/>
                <w:b/>
                <w:bCs/>
                <w:szCs w:val="24"/>
              </w:rPr>
            </w:pPr>
            <w:r w:rsidRPr="000D0BE8">
              <w:rPr>
                <w:rFonts w:asciiTheme="minorHAnsi" w:hAnsiTheme="minorHAnsi" w:cstheme="minorHAnsi"/>
                <w:b/>
                <w:bCs/>
                <w:szCs w:val="24"/>
              </w:rPr>
              <w:lastRenderedPageBreak/>
              <w:t xml:space="preserve">8.  </w:t>
            </w:r>
            <w:r w:rsidRPr="000D0BE8">
              <w:rPr>
                <w:rFonts w:asciiTheme="minorHAnsi" w:hAnsiTheme="minorHAnsi" w:cstheme="minorHAnsi"/>
                <w:b/>
                <w:bCs/>
                <w:szCs w:val="24"/>
              </w:rPr>
              <w:tab/>
              <w:t>Audits.</w:t>
            </w:r>
          </w:p>
          <w:p w14:paraId="7AD548E5" w14:textId="77777777" w:rsidR="000D0BE8" w:rsidRPr="000D0BE8" w:rsidRDefault="000D0BE8" w:rsidP="000D0BE8">
            <w:pPr>
              <w:widowControl/>
              <w:rPr>
                <w:rFonts w:asciiTheme="minorHAnsi" w:hAnsiTheme="minorHAnsi" w:cstheme="minorHAnsi"/>
                <w:szCs w:val="24"/>
              </w:rPr>
            </w:pPr>
          </w:p>
        </w:tc>
        <w:tc>
          <w:tcPr>
            <w:tcW w:w="3082" w:type="dxa"/>
            <w:shd w:val="clear" w:color="auto" w:fill="FFFF99"/>
          </w:tcPr>
          <w:p w14:paraId="635A6A1B"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 xml:space="preserve">The Contractor acknowledges that it may be required to submit to an audit of funds paid through this Contract.  Any such audit shall be conducted in accordance with IC § 5-11-1, </w:t>
            </w:r>
            <w:r w:rsidRPr="000D0BE8">
              <w:rPr>
                <w:rFonts w:asciiTheme="minorHAnsi" w:hAnsiTheme="minorHAnsi" w:cstheme="minorHAnsi"/>
                <w:i/>
                <w:szCs w:val="24"/>
              </w:rPr>
              <w:t>et seq.</w:t>
            </w:r>
            <w:r w:rsidRPr="000D0BE8">
              <w:rPr>
                <w:rFonts w:asciiTheme="minorHAnsi" w:hAnsiTheme="minorHAnsi" w:cstheme="minorHAnsi"/>
                <w:szCs w:val="24"/>
              </w:rPr>
              <w:t>, and audit guidelines specified by the State.</w:t>
            </w:r>
          </w:p>
          <w:p w14:paraId="1EA583D3"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(delete remainder of language)</w:t>
            </w:r>
          </w:p>
        </w:tc>
        <w:tc>
          <w:tcPr>
            <w:tcW w:w="3077" w:type="dxa"/>
            <w:shd w:val="clear" w:color="auto" w:fill="FFFF99"/>
          </w:tcPr>
          <w:p w14:paraId="4EBEEC59"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West respectfully requests the modification of this clause. This clause creates an additional burden that is an industry standard practice.  West, as is standard practice, will be able to justify any charges.</w:t>
            </w:r>
          </w:p>
          <w:p w14:paraId="0D7E031A" w14:textId="77777777" w:rsidR="000D0BE8" w:rsidRPr="000D0BE8" w:rsidRDefault="000D0BE8" w:rsidP="000D0BE8">
            <w:pPr>
              <w:widowControl/>
              <w:rPr>
                <w:rFonts w:asciiTheme="minorHAnsi" w:hAnsiTheme="minorHAnsi" w:cstheme="minorHAnsi"/>
                <w:szCs w:val="24"/>
              </w:rPr>
            </w:pPr>
          </w:p>
        </w:tc>
      </w:tr>
      <w:tr w:rsidR="000D0BE8" w:rsidRPr="000D0BE8" w14:paraId="37D81A3C" w14:textId="77777777" w:rsidTr="00545A6D">
        <w:tc>
          <w:tcPr>
            <w:tcW w:w="3191" w:type="dxa"/>
            <w:shd w:val="clear" w:color="auto" w:fill="FFFF99"/>
          </w:tcPr>
          <w:p w14:paraId="460E09F7" w14:textId="77777777" w:rsidR="000D0BE8" w:rsidRPr="000D0BE8" w:rsidRDefault="000D0BE8" w:rsidP="000D0BE8">
            <w:pPr>
              <w:widowControl/>
              <w:rPr>
                <w:rFonts w:asciiTheme="minorHAnsi" w:hAnsiTheme="minorHAnsi" w:cstheme="minorHAnsi"/>
                <w:b/>
                <w:szCs w:val="24"/>
              </w:rPr>
            </w:pPr>
            <w:r w:rsidRPr="000D0BE8">
              <w:rPr>
                <w:rFonts w:asciiTheme="minorHAnsi" w:hAnsiTheme="minorHAnsi" w:cstheme="minorHAnsi"/>
                <w:b/>
                <w:szCs w:val="24"/>
              </w:rPr>
              <w:t xml:space="preserve">13.  </w:t>
            </w:r>
            <w:r w:rsidRPr="000D0BE8">
              <w:rPr>
                <w:rFonts w:asciiTheme="minorHAnsi" w:hAnsiTheme="minorHAnsi" w:cstheme="minorHAnsi"/>
                <w:b/>
                <w:szCs w:val="24"/>
              </w:rPr>
              <w:tab/>
              <w:t>Confidentiality of State Information – Modified.</w:t>
            </w:r>
          </w:p>
          <w:p w14:paraId="23A11682" w14:textId="77777777" w:rsidR="000D0BE8" w:rsidRPr="000D0BE8" w:rsidRDefault="000D0BE8" w:rsidP="000D0BE8">
            <w:pPr>
              <w:widowControl/>
              <w:rPr>
                <w:rFonts w:asciiTheme="minorHAnsi" w:hAnsiTheme="minorHAnsi" w:cstheme="minorHAnsi"/>
                <w:szCs w:val="24"/>
              </w:rPr>
            </w:pPr>
          </w:p>
        </w:tc>
        <w:tc>
          <w:tcPr>
            <w:tcW w:w="3082" w:type="dxa"/>
            <w:shd w:val="clear" w:color="auto" w:fill="FFFF99"/>
          </w:tcPr>
          <w:p w14:paraId="75E94188"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lastRenderedPageBreak/>
              <w:t>A.</w:t>
            </w:r>
            <w:r w:rsidRPr="000D0BE8">
              <w:rPr>
                <w:rFonts w:asciiTheme="minorHAnsi" w:hAnsiTheme="minorHAnsi" w:cstheme="minorHAnsi"/>
                <w:szCs w:val="24"/>
              </w:rPr>
              <w:tab/>
              <w:t xml:space="preserve">The Contractor understands and agrees that data, materials, and information disclosed to the </w:t>
            </w:r>
            <w:r w:rsidRPr="000D0BE8">
              <w:rPr>
                <w:rFonts w:asciiTheme="minorHAnsi" w:hAnsiTheme="minorHAnsi" w:cstheme="minorHAnsi"/>
                <w:szCs w:val="24"/>
              </w:rPr>
              <w:lastRenderedPageBreak/>
              <w:t>Contractor, including, but not limited to, services recipient information received by the Contractor or its subcontractors in administering the terms and provisions of this Contract,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  (deleted remainder)</w:t>
            </w:r>
          </w:p>
          <w:p w14:paraId="1083E31D" w14:textId="77777777" w:rsidR="000D0BE8" w:rsidRPr="000D0BE8" w:rsidRDefault="000D0BE8" w:rsidP="000D0BE8">
            <w:pPr>
              <w:widowControl/>
              <w:rPr>
                <w:rFonts w:asciiTheme="minorHAnsi" w:hAnsiTheme="minorHAnsi" w:cstheme="minorHAnsi"/>
                <w:szCs w:val="24"/>
              </w:rPr>
            </w:pPr>
          </w:p>
        </w:tc>
        <w:tc>
          <w:tcPr>
            <w:tcW w:w="3077" w:type="dxa"/>
            <w:shd w:val="clear" w:color="auto" w:fill="FFFF99"/>
          </w:tcPr>
          <w:p w14:paraId="2EAC87CF"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lastRenderedPageBreak/>
              <w:t xml:space="preserve">West cannot accept portions of this Section 13, </w:t>
            </w:r>
            <w:r w:rsidRPr="000D0BE8">
              <w:rPr>
                <w:rFonts w:asciiTheme="minorHAnsi" w:hAnsiTheme="minorHAnsi" w:cstheme="minorHAnsi"/>
                <w:szCs w:val="24"/>
              </w:rPr>
              <w:lastRenderedPageBreak/>
              <w:t xml:space="preserve">including references to IRS Exhibit 7 as it indicates that West may obtain access to Social Security numbers held by the State, which is not a correct statement. Further, West does not require access to the State’s tax return information.  For its products, West has already obtained such information from third-part data sources of public records – and obligations flow to West’s Subscribers.  And while it is possible the State may also have some of the same information, West provides its information to other customers in accord with its license agreements and relevant law. West does not wish to have language in the agreement that contradicts its product’s use and implies heightened legal standards or nonstandard contractual obligations.  Our Solution is simply </w:t>
            </w:r>
            <w:r w:rsidRPr="000D0BE8">
              <w:rPr>
                <w:rFonts w:asciiTheme="minorHAnsi" w:hAnsiTheme="minorHAnsi" w:cstheme="minorHAnsi"/>
                <w:szCs w:val="24"/>
              </w:rPr>
              <w:lastRenderedPageBreak/>
              <w:t>access to a database that may already contain information already held by the State, but we are not holding any of the State’s data.  This is consistent with the previous contract, where the entire clause was struck</w:t>
            </w:r>
          </w:p>
          <w:p w14:paraId="2BE2D37D" w14:textId="77777777" w:rsidR="000D0BE8" w:rsidRPr="000D0BE8" w:rsidRDefault="000D0BE8" w:rsidP="000D0BE8">
            <w:pPr>
              <w:widowControl/>
              <w:rPr>
                <w:rFonts w:asciiTheme="minorHAnsi" w:hAnsiTheme="minorHAnsi" w:cstheme="minorHAnsi"/>
                <w:szCs w:val="24"/>
              </w:rPr>
            </w:pPr>
          </w:p>
        </w:tc>
      </w:tr>
      <w:tr w:rsidR="000D0BE8" w:rsidRPr="000D0BE8" w14:paraId="19395E7F" w14:textId="77777777" w:rsidTr="00545A6D">
        <w:tc>
          <w:tcPr>
            <w:tcW w:w="3191" w:type="dxa"/>
            <w:shd w:val="clear" w:color="auto" w:fill="FFFF99"/>
          </w:tcPr>
          <w:p w14:paraId="78732FA2"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b/>
                <w:szCs w:val="24"/>
              </w:rPr>
              <w:lastRenderedPageBreak/>
              <w:t>13.  Continuity of Service</w:t>
            </w:r>
          </w:p>
        </w:tc>
        <w:tc>
          <w:tcPr>
            <w:tcW w:w="3082" w:type="dxa"/>
            <w:shd w:val="clear" w:color="auto" w:fill="FFFF99"/>
          </w:tcPr>
          <w:p w14:paraId="75F750C3"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Delete entirely</w:t>
            </w:r>
          </w:p>
        </w:tc>
        <w:tc>
          <w:tcPr>
            <w:tcW w:w="3077" w:type="dxa"/>
            <w:shd w:val="clear" w:color="auto" w:fill="FFFF99"/>
          </w:tcPr>
          <w:p w14:paraId="2BE22CDF"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West respectfully requests the deletion of this section. Our solution is not a custom solution.  West provides commercial items that are available in the marketplace.  If a customer transitions between providers, the only issue is the termination date, which would be determined by the State’s preference.  And these additional terms – including the right to seek transition costs from the State – are unnecessary. This is consistent with the previous contract, where the entire clause was struck</w:t>
            </w:r>
          </w:p>
          <w:p w14:paraId="1EE02D5F" w14:textId="77777777" w:rsidR="000D0BE8" w:rsidRPr="000D0BE8" w:rsidRDefault="000D0BE8" w:rsidP="000D0BE8">
            <w:pPr>
              <w:widowControl/>
              <w:rPr>
                <w:rFonts w:asciiTheme="minorHAnsi" w:hAnsiTheme="minorHAnsi" w:cstheme="minorHAnsi"/>
                <w:szCs w:val="24"/>
              </w:rPr>
            </w:pPr>
          </w:p>
        </w:tc>
      </w:tr>
      <w:tr w:rsidR="000D0BE8" w:rsidRPr="000D0BE8" w14:paraId="1FB38F2D" w14:textId="77777777" w:rsidTr="00545A6D">
        <w:tc>
          <w:tcPr>
            <w:tcW w:w="3191" w:type="dxa"/>
            <w:shd w:val="clear" w:color="auto" w:fill="FFFF99"/>
          </w:tcPr>
          <w:p w14:paraId="48EADE77" w14:textId="77777777" w:rsidR="000D0BE8" w:rsidRPr="000D0BE8" w:rsidRDefault="000D0BE8" w:rsidP="000D0BE8">
            <w:pPr>
              <w:widowControl/>
              <w:rPr>
                <w:rFonts w:asciiTheme="minorHAnsi" w:hAnsiTheme="minorHAnsi" w:cstheme="minorHAnsi"/>
                <w:b/>
                <w:szCs w:val="24"/>
              </w:rPr>
            </w:pPr>
            <w:r w:rsidRPr="000D0BE8">
              <w:rPr>
                <w:rFonts w:asciiTheme="minorHAnsi" w:hAnsiTheme="minorHAnsi" w:cstheme="minorHAnsi"/>
                <w:b/>
                <w:szCs w:val="24"/>
              </w:rPr>
              <w:lastRenderedPageBreak/>
              <w:t>20.</w:t>
            </w:r>
            <w:r w:rsidRPr="000D0BE8">
              <w:rPr>
                <w:rFonts w:asciiTheme="minorHAnsi" w:hAnsiTheme="minorHAnsi" w:cstheme="minorHAnsi"/>
                <w:b/>
                <w:szCs w:val="24"/>
              </w:rPr>
              <w:tab/>
              <w:t>Employment Option – Modified.</w:t>
            </w:r>
          </w:p>
          <w:p w14:paraId="75655B23" w14:textId="77777777" w:rsidR="000D0BE8" w:rsidRPr="000D0BE8" w:rsidRDefault="000D0BE8" w:rsidP="000D0BE8">
            <w:pPr>
              <w:widowControl/>
              <w:rPr>
                <w:rFonts w:asciiTheme="minorHAnsi" w:hAnsiTheme="minorHAnsi" w:cstheme="minorHAnsi"/>
                <w:szCs w:val="24"/>
              </w:rPr>
            </w:pPr>
          </w:p>
        </w:tc>
        <w:tc>
          <w:tcPr>
            <w:tcW w:w="3082" w:type="dxa"/>
            <w:shd w:val="clear" w:color="auto" w:fill="FFFF99"/>
          </w:tcPr>
          <w:p w14:paraId="4C663ABC"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Delete entirely</w:t>
            </w:r>
          </w:p>
        </w:tc>
        <w:tc>
          <w:tcPr>
            <w:tcW w:w="3077" w:type="dxa"/>
            <w:shd w:val="clear" w:color="auto" w:fill="FFFF99"/>
          </w:tcPr>
          <w:p w14:paraId="08E8233B" w14:textId="1BC0854B"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West respectfully requests deletion of this section, as again, we are not providing a custom solution, so this provision does not apply.  This is consistent with the previous contract</w:t>
            </w:r>
            <w:r w:rsidR="00B07688">
              <w:rPr>
                <w:rFonts w:asciiTheme="minorHAnsi" w:hAnsiTheme="minorHAnsi" w:cstheme="minorHAnsi"/>
                <w:szCs w:val="24"/>
              </w:rPr>
              <w:t>.</w:t>
            </w:r>
          </w:p>
          <w:p w14:paraId="4C9C353F" w14:textId="77777777" w:rsidR="000D0BE8" w:rsidRPr="000D0BE8" w:rsidRDefault="000D0BE8" w:rsidP="000D0BE8">
            <w:pPr>
              <w:widowControl/>
              <w:rPr>
                <w:rFonts w:asciiTheme="minorHAnsi" w:hAnsiTheme="minorHAnsi" w:cstheme="minorHAnsi"/>
                <w:szCs w:val="24"/>
              </w:rPr>
            </w:pPr>
          </w:p>
        </w:tc>
      </w:tr>
      <w:tr w:rsidR="000D0BE8" w:rsidRPr="000D0BE8" w14:paraId="6FCC284B" w14:textId="77777777" w:rsidTr="00545A6D">
        <w:tc>
          <w:tcPr>
            <w:tcW w:w="3191" w:type="dxa"/>
            <w:shd w:val="clear" w:color="auto" w:fill="FFFF99"/>
          </w:tcPr>
          <w:p w14:paraId="46886A4B" w14:textId="77777777" w:rsidR="000D0BE8" w:rsidRPr="000D0BE8" w:rsidRDefault="000D0BE8" w:rsidP="000D0BE8">
            <w:pPr>
              <w:widowControl/>
              <w:rPr>
                <w:rFonts w:asciiTheme="minorHAnsi" w:hAnsiTheme="minorHAnsi" w:cstheme="minorHAnsi"/>
                <w:b/>
                <w:szCs w:val="24"/>
              </w:rPr>
            </w:pPr>
            <w:r w:rsidRPr="000D0BE8">
              <w:rPr>
                <w:rFonts w:asciiTheme="minorHAnsi" w:hAnsiTheme="minorHAnsi" w:cstheme="minorHAnsi"/>
                <w:b/>
                <w:szCs w:val="24"/>
              </w:rPr>
              <w:t xml:space="preserve">24.  </w:t>
            </w:r>
            <w:r w:rsidRPr="000D0BE8">
              <w:rPr>
                <w:rFonts w:asciiTheme="minorHAnsi" w:hAnsiTheme="minorHAnsi" w:cstheme="minorHAnsi"/>
                <w:b/>
                <w:szCs w:val="24"/>
              </w:rPr>
              <w:tab/>
              <w:t>HIPAA Compliance.</w:t>
            </w:r>
          </w:p>
          <w:p w14:paraId="7A629AE1" w14:textId="77777777" w:rsidR="000D0BE8" w:rsidRPr="000D0BE8" w:rsidRDefault="000D0BE8" w:rsidP="000D0BE8">
            <w:pPr>
              <w:widowControl/>
              <w:rPr>
                <w:rFonts w:asciiTheme="minorHAnsi" w:hAnsiTheme="minorHAnsi" w:cstheme="minorHAnsi"/>
                <w:szCs w:val="24"/>
              </w:rPr>
            </w:pPr>
          </w:p>
        </w:tc>
        <w:tc>
          <w:tcPr>
            <w:tcW w:w="3082" w:type="dxa"/>
            <w:shd w:val="clear" w:color="auto" w:fill="FFFF99"/>
          </w:tcPr>
          <w:p w14:paraId="33DCAF90"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Delete entirely</w:t>
            </w:r>
          </w:p>
        </w:tc>
        <w:tc>
          <w:tcPr>
            <w:tcW w:w="3077" w:type="dxa"/>
            <w:shd w:val="clear" w:color="auto" w:fill="FFFF99"/>
          </w:tcPr>
          <w:p w14:paraId="3447EAAD"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West does not receive information subject to HIPAA and seeks deletion of this clause for clarity on this point.</w:t>
            </w:r>
          </w:p>
          <w:p w14:paraId="4602ADA3" w14:textId="77777777" w:rsidR="000D0BE8" w:rsidRPr="000D0BE8" w:rsidRDefault="000D0BE8" w:rsidP="000D0BE8">
            <w:pPr>
              <w:widowControl/>
              <w:rPr>
                <w:rFonts w:asciiTheme="minorHAnsi" w:hAnsiTheme="minorHAnsi" w:cstheme="minorHAnsi"/>
                <w:szCs w:val="24"/>
              </w:rPr>
            </w:pPr>
          </w:p>
        </w:tc>
      </w:tr>
      <w:tr w:rsidR="000D0BE8" w:rsidRPr="000D0BE8" w14:paraId="7795D7FC" w14:textId="77777777" w:rsidTr="00545A6D">
        <w:tc>
          <w:tcPr>
            <w:tcW w:w="3191" w:type="dxa"/>
            <w:shd w:val="clear" w:color="auto" w:fill="FFFF99"/>
          </w:tcPr>
          <w:p w14:paraId="0632BC89" w14:textId="77777777" w:rsidR="000D0BE8" w:rsidRPr="000D0BE8" w:rsidRDefault="000D0BE8" w:rsidP="000D0BE8">
            <w:pPr>
              <w:widowControl/>
              <w:rPr>
                <w:rFonts w:asciiTheme="minorHAnsi" w:hAnsiTheme="minorHAnsi" w:cstheme="minorHAnsi"/>
                <w:b/>
                <w:szCs w:val="24"/>
              </w:rPr>
            </w:pPr>
            <w:r w:rsidRPr="000D0BE8">
              <w:rPr>
                <w:rFonts w:asciiTheme="minorHAnsi" w:hAnsiTheme="minorHAnsi" w:cstheme="minorHAnsi"/>
                <w:b/>
                <w:szCs w:val="24"/>
              </w:rPr>
              <w:t xml:space="preserve">25.  </w:t>
            </w:r>
            <w:r w:rsidRPr="000D0BE8">
              <w:rPr>
                <w:rFonts w:asciiTheme="minorHAnsi" w:hAnsiTheme="minorHAnsi" w:cstheme="minorHAnsi"/>
                <w:b/>
                <w:szCs w:val="24"/>
              </w:rPr>
              <w:tab/>
              <w:t xml:space="preserve">Indemnification.  </w:t>
            </w:r>
          </w:p>
          <w:p w14:paraId="63778DD6" w14:textId="77777777" w:rsidR="000D0BE8" w:rsidRPr="000D0BE8" w:rsidRDefault="000D0BE8" w:rsidP="000D0BE8">
            <w:pPr>
              <w:widowControl/>
              <w:rPr>
                <w:rFonts w:asciiTheme="minorHAnsi" w:hAnsiTheme="minorHAnsi" w:cstheme="minorHAnsi"/>
                <w:szCs w:val="24"/>
              </w:rPr>
            </w:pPr>
          </w:p>
        </w:tc>
        <w:tc>
          <w:tcPr>
            <w:tcW w:w="3082" w:type="dxa"/>
            <w:shd w:val="clear" w:color="auto" w:fill="FFFF99"/>
          </w:tcPr>
          <w:p w14:paraId="7C89422D"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The Contractor agrees to indemnify, defend, and hold harmless the State, its agents, officials, and employees from all claims and suits including court costs, attorney’s fees, and other expenses caused by any grossly negligent act or willful misconduct of the Contractor and/or its subcontractors, if any, in the performance of this Contract.   The State shall not provide such indemnification to the Contractor.</w:t>
            </w:r>
          </w:p>
          <w:p w14:paraId="38BCA6B8" w14:textId="77777777" w:rsidR="000D0BE8" w:rsidRPr="000D0BE8" w:rsidRDefault="000D0BE8" w:rsidP="000D0BE8">
            <w:pPr>
              <w:widowControl/>
              <w:rPr>
                <w:rFonts w:asciiTheme="minorHAnsi" w:hAnsiTheme="minorHAnsi" w:cstheme="minorHAnsi"/>
                <w:szCs w:val="24"/>
              </w:rPr>
            </w:pPr>
          </w:p>
        </w:tc>
        <w:tc>
          <w:tcPr>
            <w:tcW w:w="3077" w:type="dxa"/>
            <w:shd w:val="clear" w:color="auto" w:fill="FFFF99"/>
          </w:tcPr>
          <w:p w14:paraId="3854A9C0"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West would like to narrow its indemnity to gross negligence and willful misconduct, which is standard in the industry.  This is consistent with the previous contract.</w:t>
            </w:r>
          </w:p>
          <w:p w14:paraId="2300FA7A" w14:textId="77777777" w:rsidR="000D0BE8" w:rsidRPr="000D0BE8" w:rsidRDefault="000D0BE8" w:rsidP="000D0BE8">
            <w:pPr>
              <w:widowControl/>
              <w:rPr>
                <w:rFonts w:asciiTheme="minorHAnsi" w:hAnsiTheme="minorHAnsi" w:cstheme="minorHAnsi"/>
                <w:szCs w:val="24"/>
              </w:rPr>
            </w:pPr>
          </w:p>
        </w:tc>
      </w:tr>
      <w:tr w:rsidR="000D0BE8" w:rsidRPr="000D0BE8" w14:paraId="587A78B1" w14:textId="77777777" w:rsidTr="00545A6D">
        <w:tc>
          <w:tcPr>
            <w:tcW w:w="3191" w:type="dxa"/>
            <w:shd w:val="clear" w:color="auto" w:fill="FFFF99"/>
          </w:tcPr>
          <w:p w14:paraId="4A8BCB31"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b/>
                <w:szCs w:val="24"/>
              </w:rPr>
              <w:t xml:space="preserve">27.  </w:t>
            </w:r>
            <w:r w:rsidRPr="000D0BE8">
              <w:rPr>
                <w:rFonts w:asciiTheme="minorHAnsi" w:hAnsiTheme="minorHAnsi" w:cstheme="minorHAnsi"/>
                <w:b/>
                <w:szCs w:val="24"/>
              </w:rPr>
              <w:tab/>
            </w:r>
            <w:r w:rsidRPr="000D0BE8">
              <w:rPr>
                <w:rFonts w:asciiTheme="minorHAnsi" w:hAnsiTheme="minorHAnsi" w:cstheme="minorHAnsi"/>
                <w:b/>
                <w:bCs/>
                <w:szCs w:val="24"/>
              </w:rPr>
              <w:t>Indiana Veteran Owned Small Business Enterprise Compliance.</w:t>
            </w:r>
          </w:p>
          <w:p w14:paraId="6FFEFF53" w14:textId="77777777" w:rsidR="000D0BE8" w:rsidRPr="000D0BE8" w:rsidRDefault="000D0BE8" w:rsidP="000D0BE8">
            <w:pPr>
              <w:widowControl/>
              <w:rPr>
                <w:rFonts w:asciiTheme="minorHAnsi" w:hAnsiTheme="minorHAnsi" w:cstheme="minorHAnsi"/>
                <w:szCs w:val="24"/>
              </w:rPr>
            </w:pPr>
          </w:p>
        </w:tc>
        <w:tc>
          <w:tcPr>
            <w:tcW w:w="3082" w:type="dxa"/>
            <w:shd w:val="clear" w:color="auto" w:fill="FFFF99"/>
          </w:tcPr>
          <w:p w14:paraId="2495FBE7"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Delete entirely</w:t>
            </w:r>
          </w:p>
        </w:tc>
        <w:tc>
          <w:tcPr>
            <w:tcW w:w="3077" w:type="dxa"/>
            <w:shd w:val="clear" w:color="auto" w:fill="FFFF99"/>
          </w:tcPr>
          <w:p w14:paraId="28EDA45C" w14:textId="77777777" w:rsidR="000D0BE8" w:rsidRPr="000D0BE8" w:rsidRDefault="000D0BE8" w:rsidP="000D0BE8">
            <w:pPr>
              <w:widowControl/>
              <w:rPr>
                <w:rFonts w:asciiTheme="minorHAnsi" w:hAnsiTheme="minorHAnsi" w:cstheme="minorHAnsi"/>
                <w:szCs w:val="24"/>
              </w:rPr>
            </w:pPr>
            <w:bookmarkStart w:id="1" w:name="_Hlk89353925"/>
            <w:r w:rsidRPr="000D0BE8">
              <w:rPr>
                <w:rFonts w:asciiTheme="minorHAnsi" w:hAnsiTheme="minorHAnsi" w:cstheme="minorHAnsi"/>
                <w:szCs w:val="24"/>
              </w:rPr>
              <w:t xml:space="preserve">West requests deletion of this entire section as it is not applicable.  This is consistent with the previous contract.  </w:t>
            </w:r>
          </w:p>
          <w:bookmarkEnd w:id="1"/>
          <w:p w14:paraId="3FC7364A" w14:textId="77777777" w:rsidR="000D0BE8" w:rsidRPr="000D0BE8" w:rsidRDefault="000D0BE8" w:rsidP="000D0BE8">
            <w:pPr>
              <w:widowControl/>
              <w:rPr>
                <w:rFonts w:asciiTheme="minorHAnsi" w:hAnsiTheme="minorHAnsi" w:cstheme="minorHAnsi"/>
                <w:szCs w:val="24"/>
              </w:rPr>
            </w:pPr>
          </w:p>
        </w:tc>
      </w:tr>
      <w:tr w:rsidR="000D0BE8" w:rsidRPr="000D0BE8" w14:paraId="1F55EB1B" w14:textId="77777777" w:rsidTr="00545A6D">
        <w:tc>
          <w:tcPr>
            <w:tcW w:w="3191" w:type="dxa"/>
            <w:shd w:val="clear" w:color="auto" w:fill="FFFF99"/>
          </w:tcPr>
          <w:p w14:paraId="6D7506E6" w14:textId="77777777" w:rsidR="000D0BE8" w:rsidRPr="000D0BE8" w:rsidRDefault="000D0BE8" w:rsidP="000D0BE8">
            <w:pPr>
              <w:widowControl/>
              <w:rPr>
                <w:rFonts w:asciiTheme="minorHAnsi" w:hAnsiTheme="minorHAnsi" w:cstheme="minorHAnsi"/>
                <w:b/>
                <w:bCs/>
                <w:szCs w:val="24"/>
              </w:rPr>
            </w:pPr>
            <w:r w:rsidRPr="000D0BE8">
              <w:rPr>
                <w:rFonts w:asciiTheme="minorHAnsi" w:hAnsiTheme="minorHAnsi" w:cstheme="minorHAnsi"/>
                <w:b/>
                <w:bCs/>
                <w:szCs w:val="24"/>
              </w:rPr>
              <w:t>28.</w:t>
            </w:r>
            <w:r w:rsidRPr="000D0BE8">
              <w:rPr>
                <w:rFonts w:asciiTheme="minorHAnsi" w:hAnsiTheme="minorHAnsi" w:cstheme="minorHAnsi"/>
                <w:b/>
                <w:bCs/>
                <w:szCs w:val="24"/>
              </w:rPr>
              <w:tab/>
              <w:t>Information Technology Enterprise Architecture Requirements.</w:t>
            </w:r>
          </w:p>
          <w:p w14:paraId="3D969546" w14:textId="77777777" w:rsidR="000D0BE8" w:rsidRPr="000D0BE8" w:rsidRDefault="000D0BE8" w:rsidP="000D0BE8">
            <w:pPr>
              <w:widowControl/>
              <w:rPr>
                <w:rFonts w:asciiTheme="minorHAnsi" w:hAnsiTheme="minorHAnsi" w:cstheme="minorHAnsi"/>
                <w:szCs w:val="24"/>
              </w:rPr>
            </w:pPr>
          </w:p>
        </w:tc>
        <w:tc>
          <w:tcPr>
            <w:tcW w:w="3082" w:type="dxa"/>
            <w:shd w:val="clear" w:color="auto" w:fill="FFFF99"/>
          </w:tcPr>
          <w:p w14:paraId="54E971AD"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 xml:space="preserve">If this Contract involves information technology-related products or services, the Contractor agrees that all such products or services are compatible with any of the </w:t>
            </w:r>
            <w:r w:rsidRPr="000D0BE8">
              <w:rPr>
                <w:rFonts w:asciiTheme="minorHAnsi" w:hAnsiTheme="minorHAnsi" w:cstheme="minorHAnsi"/>
                <w:szCs w:val="24"/>
              </w:rPr>
              <w:lastRenderedPageBreak/>
              <w:t xml:space="preserve">technology standards found at </w:t>
            </w:r>
            <w:hyperlink r:id="rId16" w:history="1">
              <w:r w:rsidRPr="000D0BE8">
                <w:rPr>
                  <w:rStyle w:val="Hyperlink"/>
                  <w:rFonts w:asciiTheme="minorHAnsi" w:hAnsiTheme="minorHAnsi" w:cstheme="minorHAnsi"/>
                  <w:szCs w:val="24"/>
                </w:rPr>
                <w:t>https://www.in.gov/iot/2394.htm</w:t>
              </w:r>
            </w:hyperlink>
            <w:r w:rsidRPr="000D0BE8">
              <w:rPr>
                <w:rFonts w:asciiTheme="minorHAnsi" w:hAnsiTheme="minorHAnsi" w:cstheme="minorHAnsi"/>
                <w:szCs w:val="24"/>
              </w:rPr>
              <w:t xml:space="preserve"> that are applicable, except to the extent provided in Thomson Reuters’ Accessibility Conformance Report for Thomson Reuters CLEAR (“ACR”), which is available upon request.  including the assistive technology standard.  The State may terminate this Contract for default if the terms of this paragraph are breached.</w:t>
            </w:r>
          </w:p>
          <w:p w14:paraId="1ABACC1F" w14:textId="77777777" w:rsidR="000D0BE8" w:rsidRPr="000D0BE8" w:rsidRDefault="000D0BE8" w:rsidP="000D0BE8">
            <w:pPr>
              <w:widowControl/>
              <w:rPr>
                <w:rFonts w:asciiTheme="minorHAnsi" w:hAnsiTheme="minorHAnsi" w:cstheme="minorHAnsi"/>
                <w:szCs w:val="24"/>
              </w:rPr>
            </w:pPr>
          </w:p>
        </w:tc>
        <w:tc>
          <w:tcPr>
            <w:tcW w:w="3077" w:type="dxa"/>
            <w:shd w:val="clear" w:color="auto" w:fill="FFFF99"/>
          </w:tcPr>
          <w:p w14:paraId="0B3585AD"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lastRenderedPageBreak/>
              <w:t xml:space="preserve">West respectfully requests the addition of language around its Accessibility </w:t>
            </w:r>
            <w:r w:rsidRPr="000D0BE8">
              <w:rPr>
                <w:rFonts w:asciiTheme="minorHAnsi" w:hAnsiTheme="minorHAnsi" w:cstheme="minorHAnsi"/>
                <w:szCs w:val="24"/>
              </w:rPr>
              <w:lastRenderedPageBreak/>
              <w:t>Conformance Report for CLEAR.  This is consistent with the previous contract.</w:t>
            </w:r>
          </w:p>
        </w:tc>
      </w:tr>
      <w:tr w:rsidR="000D0BE8" w:rsidRPr="000D0BE8" w14:paraId="1D67A19D" w14:textId="77777777" w:rsidTr="00545A6D">
        <w:tc>
          <w:tcPr>
            <w:tcW w:w="3191" w:type="dxa"/>
            <w:shd w:val="clear" w:color="auto" w:fill="FFFF99"/>
          </w:tcPr>
          <w:p w14:paraId="3E29398F" w14:textId="77777777" w:rsidR="000D0BE8" w:rsidRPr="000D0BE8" w:rsidRDefault="000D0BE8" w:rsidP="000D0BE8">
            <w:pPr>
              <w:widowControl/>
              <w:rPr>
                <w:rFonts w:asciiTheme="minorHAnsi" w:hAnsiTheme="minorHAnsi" w:cstheme="minorHAnsi"/>
                <w:b/>
                <w:bCs/>
                <w:szCs w:val="24"/>
              </w:rPr>
            </w:pPr>
            <w:r w:rsidRPr="000D0BE8">
              <w:rPr>
                <w:rFonts w:asciiTheme="minorHAnsi" w:hAnsiTheme="minorHAnsi" w:cstheme="minorHAnsi"/>
                <w:b/>
                <w:szCs w:val="24"/>
              </w:rPr>
              <w:lastRenderedPageBreak/>
              <w:t xml:space="preserve">30.  </w:t>
            </w:r>
            <w:r w:rsidRPr="000D0BE8">
              <w:rPr>
                <w:rFonts w:asciiTheme="minorHAnsi" w:hAnsiTheme="minorHAnsi" w:cstheme="minorHAnsi"/>
                <w:b/>
                <w:szCs w:val="24"/>
              </w:rPr>
              <w:tab/>
              <w:t>Key Person(s).</w:t>
            </w:r>
          </w:p>
          <w:p w14:paraId="4E91F91E" w14:textId="77777777" w:rsidR="000D0BE8" w:rsidRPr="000D0BE8" w:rsidRDefault="000D0BE8" w:rsidP="000D0BE8">
            <w:pPr>
              <w:widowControl/>
              <w:rPr>
                <w:rFonts w:asciiTheme="minorHAnsi" w:hAnsiTheme="minorHAnsi" w:cstheme="minorHAnsi"/>
                <w:szCs w:val="24"/>
              </w:rPr>
            </w:pPr>
          </w:p>
        </w:tc>
        <w:tc>
          <w:tcPr>
            <w:tcW w:w="3082" w:type="dxa"/>
            <w:shd w:val="clear" w:color="auto" w:fill="FFFF99"/>
          </w:tcPr>
          <w:p w14:paraId="510EC964"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Delete entirely</w:t>
            </w:r>
          </w:p>
        </w:tc>
        <w:tc>
          <w:tcPr>
            <w:tcW w:w="3077" w:type="dxa"/>
            <w:shd w:val="clear" w:color="auto" w:fill="FFFF99"/>
          </w:tcPr>
          <w:p w14:paraId="3F50E4D5"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As our product is not a custom solution, we request that this Section be struck as non-applicable, consistent with the previous contract.</w:t>
            </w:r>
          </w:p>
        </w:tc>
      </w:tr>
      <w:tr w:rsidR="000D0BE8" w:rsidRPr="000D0BE8" w14:paraId="4A9A9003" w14:textId="77777777" w:rsidTr="00545A6D">
        <w:tc>
          <w:tcPr>
            <w:tcW w:w="3191" w:type="dxa"/>
            <w:shd w:val="clear" w:color="auto" w:fill="FFFF99"/>
          </w:tcPr>
          <w:p w14:paraId="2BAFBC88" w14:textId="77777777" w:rsidR="000D0BE8" w:rsidRPr="000D0BE8" w:rsidRDefault="000D0BE8" w:rsidP="000D0BE8">
            <w:pPr>
              <w:widowControl/>
              <w:rPr>
                <w:rFonts w:asciiTheme="minorHAnsi" w:hAnsiTheme="minorHAnsi" w:cstheme="minorHAnsi"/>
                <w:b/>
                <w:bCs/>
                <w:szCs w:val="24"/>
              </w:rPr>
            </w:pPr>
            <w:r w:rsidRPr="000D0BE8">
              <w:rPr>
                <w:rFonts w:asciiTheme="minorHAnsi" w:hAnsiTheme="minorHAnsi" w:cstheme="minorHAnsi"/>
                <w:b/>
                <w:bCs/>
                <w:szCs w:val="24"/>
              </w:rPr>
              <w:t>33</w:t>
            </w:r>
            <w:r w:rsidRPr="000D0BE8">
              <w:rPr>
                <w:rFonts w:asciiTheme="minorHAnsi" w:hAnsiTheme="minorHAnsi" w:cstheme="minorHAnsi"/>
                <w:b/>
                <w:szCs w:val="24"/>
              </w:rPr>
              <w:t xml:space="preserve">.    </w:t>
            </w:r>
            <w:r w:rsidRPr="000D0BE8">
              <w:rPr>
                <w:rFonts w:asciiTheme="minorHAnsi" w:hAnsiTheme="minorHAnsi" w:cstheme="minorHAnsi"/>
                <w:b/>
                <w:szCs w:val="24"/>
              </w:rPr>
              <w:tab/>
              <w:t xml:space="preserve">Minority and Women’s Business Enterprises Compliance. </w:t>
            </w:r>
          </w:p>
          <w:p w14:paraId="0FE0859A" w14:textId="77777777" w:rsidR="000D0BE8" w:rsidRPr="000D0BE8" w:rsidRDefault="000D0BE8" w:rsidP="000D0BE8">
            <w:pPr>
              <w:widowControl/>
              <w:rPr>
                <w:rFonts w:asciiTheme="minorHAnsi" w:hAnsiTheme="minorHAnsi" w:cstheme="minorHAnsi"/>
                <w:szCs w:val="24"/>
              </w:rPr>
            </w:pPr>
          </w:p>
        </w:tc>
        <w:tc>
          <w:tcPr>
            <w:tcW w:w="3082" w:type="dxa"/>
            <w:shd w:val="clear" w:color="auto" w:fill="FFFF99"/>
          </w:tcPr>
          <w:p w14:paraId="33721068"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Delete entirely</w:t>
            </w:r>
          </w:p>
        </w:tc>
        <w:tc>
          <w:tcPr>
            <w:tcW w:w="3077" w:type="dxa"/>
            <w:shd w:val="clear" w:color="auto" w:fill="FFFF99"/>
          </w:tcPr>
          <w:p w14:paraId="39EC26BF"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 xml:space="preserve">West requests deletion of this entire section as it is not applicable.  This is consistent with the prior contract.  </w:t>
            </w:r>
          </w:p>
          <w:p w14:paraId="3397335F" w14:textId="77777777" w:rsidR="000D0BE8" w:rsidRPr="000D0BE8" w:rsidRDefault="000D0BE8" w:rsidP="000D0BE8">
            <w:pPr>
              <w:widowControl/>
              <w:rPr>
                <w:rFonts w:asciiTheme="minorHAnsi" w:hAnsiTheme="minorHAnsi" w:cstheme="minorHAnsi"/>
                <w:szCs w:val="24"/>
              </w:rPr>
            </w:pPr>
          </w:p>
        </w:tc>
      </w:tr>
      <w:tr w:rsidR="000D0BE8" w:rsidRPr="000D0BE8" w14:paraId="54237C32" w14:textId="77777777" w:rsidTr="00545A6D">
        <w:tc>
          <w:tcPr>
            <w:tcW w:w="3191" w:type="dxa"/>
            <w:shd w:val="clear" w:color="auto" w:fill="FFFF99"/>
          </w:tcPr>
          <w:p w14:paraId="2693AE64" w14:textId="77777777" w:rsidR="000D0BE8" w:rsidRPr="000D0BE8" w:rsidRDefault="000D0BE8" w:rsidP="000D0BE8">
            <w:pPr>
              <w:widowControl/>
              <w:rPr>
                <w:rFonts w:asciiTheme="minorHAnsi" w:hAnsiTheme="minorHAnsi" w:cstheme="minorHAnsi"/>
                <w:b/>
                <w:bCs/>
                <w:szCs w:val="24"/>
              </w:rPr>
            </w:pPr>
            <w:r w:rsidRPr="000D0BE8">
              <w:rPr>
                <w:rFonts w:asciiTheme="minorHAnsi" w:hAnsiTheme="minorHAnsi" w:cstheme="minorHAnsi"/>
                <w:b/>
                <w:bCs/>
                <w:szCs w:val="24"/>
              </w:rPr>
              <w:t xml:space="preserve">35.  </w:t>
            </w:r>
            <w:r w:rsidRPr="000D0BE8">
              <w:rPr>
                <w:rFonts w:asciiTheme="minorHAnsi" w:hAnsiTheme="minorHAnsi" w:cstheme="minorHAnsi"/>
                <w:b/>
                <w:bCs/>
                <w:szCs w:val="24"/>
              </w:rPr>
              <w:tab/>
              <w:t xml:space="preserve">Notice to Parties – Modified. </w:t>
            </w:r>
          </w:p>
          <w:p w14:paraId="0A95EA01" w14:textId="77777777" w:rsidR="000D0BE8" w:rsidRPr="000D0BE8" w:rsidRDefault="000D0BE8" w:rsidP="000D0BE8">
            <w:pPr>
              <w:widowControl/>
              <w:rPr>
                <w:rFonts w:asciiTheme="minorHAnsi" w:hAnsiTheme="minorHAnsi" w:cstheme="minorHAnsi"/>
                <w:b/>
                <w:bCs/>
                <w:szCs w:val="24"/>
              </w:rPr>
            </w:pPr>
          </w:p>
        </w:tc>
        <w:tc>
          <w:tcPr>
            <w:tcW w:w="3082" w:type="dxa"/>
            <w:shd w:val="clear" w:color="auto" w:fill="FFFF99"/>
          </w:tcPr>
          <w:p w14:paraId="343EDA44"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Notices to the Contractor shall be sent and/or e-mailed to:</w:t>
            </w:r>
          </w:p>
          <w:p w14:paraId="6A483B7E"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Christopher Copping</w:t>
            </w:r>
          </w:p>
          <w:p w14:paraId="701F33FA" w14:textId="569E18A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Account Executive, Gov</w:t>
            </w:r>
            <w:r w:rsidR="00E61C93">
              <w:rPr>
                <w:rFonts w:asciiTheme="minorHAnsi" w:hAnsiTheme="minorHAnsi" w:cstheme="minorHAnsi"/>
                <w:szCs w:val="24"/>
              </w:rPr>
              <w:t>ernment</w:t>
            </w:r>
            <w:r w:rsidRPr="000D0BE8">
              <w:rPr>
                <w:rFonts w:asciiTheme="minorHAnsi" w:hAnsiTheme="minorHAnsi" w:cstheme="minorHAnsi"/>
                <w:szCs w:val="24"/>
              </w:rPr>
              <w:t xml:space="preserve"> Investigative</w:t>
            </w:r>
          </w:p>
          <w:p w14:paraId="7819EA8A"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West Publishing Corporation</w:t>
            </w:r>
          </w:p>
          <w:p w14:paraId="15479F8E"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610 Opperman Drive</w:t>
            </w:r>
          </w:p>
          <w:p w14:paraId="77C0C1F4"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Eagan, MN  55123</w:t>
            </w:r>
          </w:p>
          <w:p w14:paraId="38DDB6C3"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chris.copping@thomsonreuters.com</w:t>
            </w:r>
            <w:hyperlink r:id="rId17" w:tooltip="view in orgchart" w:history="1">
              <w:r w:rsidRPr="000D0BE8">
                <w:rPr>
                  <w:rStyle w:val="Hyperlink"/>
                  <w:rFonts w:asciiTheme="minorHAnsi" w:hAnsiTheme="minorHAnsi" w:cstheme="minorHAnsi"/>
                  <w:szCs w:val="24"/>
                </w:rPr>
                <w:br/>
              </w:r>
            </w:hyperlink>
          </w:p>
        </w:tc>
        <w:tc>
          <w:tcPr>
            <w:tcW w:w="3077" w:type="dxa"/>
            <w:shd w:val="clear" w:color="auto" w:fill="FFFF99"/>
          </w:tcPr>
          <w:p w14:paraId="2CB919E7"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Filling in information</w:t>
            </w:r>
          </w:p>
        </w:tc>
      </w:tr>
      <w:tr w:rsidR="000D0BE8" w:rsidRPr="000D0BE8" w14:paraId="4B37FA48" w14:textId="77777777" w:rsidTr="00545A6D">
        <w:tc>
          <w:tcPr>
            <w:tcW w:w="3191" w:type="dxa"/>
            <w:shd w:val="clear" w:color="auto" w:fill="FFFF99"/>
          </w:tcPr>
          <w:p w14:paraId="70607CBA" w14:textId="77777777" w:rsidR="000D0BE8" w:rsidRPr="000D0BE8" w:rsidRDefault="000D0BE8" w:rsidP="000D0BE8">
            <w:pPr>
              <w:widowControl/>
              <w:rPr>
                <w:rFonts w:asciiTheme="minorHAnsi" w:hAnsiTheme="minorHAnsi" w:cstheme="minorHAnsi"/>
                <w:b/>
                <w:szCs w:val="24"/>
              </w:rPr>
            </w:pPr>
            <w:r w:rsidRPr="000D0BE8">
              <w:rPr>
                <w:rFonts w:asciiTheme="minorHAnsi" w:hAnsiTheme="minorHAnsi" w:cstheme="minorHAnsi"/>
                <w:b/>
                <w:szCs w:val="24"/>
              </w:rPr>
              <w:t>36.</w:t>
            </w:r>
            <w:r w:rsidRPr="000D0BE8">
              <w:rPr>
                <w:rFonts w:asciiTheme="minorHAnsi" w:hAnsiTheme="minorHAnsi" w:cstheme="minorHAnsi"/>
                <w:b/>
                <w:szCs w:val="24"/>
              </w:rPr>
              <w:tab/>
              <w:t>Order of Precedence; Incorporation by Reference – Modified.</w:t>
            </w:r>
          </w:p>
          <w:p w14:paraId="409DE15C" w14:textId="77777777" w:rsidR="000D0BE8" w:rsidRPr="000D0BE8" w:rsidRDefault="000D0BE8" w:rsidP="000D0BE8">
            <w:pPr>
              <w:widowControl/>
              <w:rPr>
                <w:rFonts w:asciiTheme="minorHAnsi" w:hAnsiTheme="minorHAnsi" w:cstheme="minorHAnsi"/>
                <w:szCs w:val="24"/>
              </w:rPr>
            </w:pPr>
          </w:p>
        </w:tc>
        <w:tc>
          <w:tcPr>
            <w:tcW w:w="3082" w:type="dxa"/>
            <w:shd w:val="clear" w:color="auto" w:fill="FFFF99"/>
          </w:tcPr>
          <w:p w14:paraId="03DB4E95"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 xml:space="preserve">Any inconsistency or ambiguity in this Contract shall be resolved by giving precedence in the following order:  (1) this Addendum; (2) the Form Contract; (3) any DCS Exhibits attachments to this Addendum; (4) </w:t>
            </w:r>
            <w:r w:rsidRPr="000D0BE8">
              <w:rPr>
                <w:rFonts w:asciiTheme="minorHAnsi" w:hAnsiTheme="minorHAnsi" w:cstheme="minorHAnsi"/>
                <w:szCs w:val="24"/>
              </w:rPr>
              <w:lastRenderedPageBreak/>
              <w:t>attachments prepared by the Contractor; and (5) the Contractor's RFP Response.  All attachments, exhibits, and all documents referred to in this paragraph are hereby incorporated fully by reference</w:t>
            </w:r>
            <w:r w:rsidRPr="000D0BE8">
              <w:rPr>
                <w:rFonts w:asciiTheme="minorHAnsi" w:hAnsiTheme="minorHAnsi" w:cstheme="minorHAnsi"/>
                <w:b/>
                <w:szCs w:val="24"/>
              </w:rPr>
              <w:t>.</w:t>
            </w:r>
          </w:p>
        </w:tc>
        <w:tc>
          <w:tcPr>
            <w:tcW w:w="3077" w:type="dxa"/>
            <w:shd w:val="clear" w:color="auto" w:fill="FFFF99"/>
          </w:tcPr>
          <w:p w14:paraId="0F625A89"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bCs/>
                <w:szCs w:val="24"/>
              </w:rPr>
              <w:lastRenderedPageBreak/>
              <w:t xml:space="preserve">West requests this change as our license terms need to be incorporated into the Agreement.  This is consistent </w:t>
            </w:r>
            <w:r w:rsidRPr="000D0BE8">
              <w:rPr>
                <w:rFonts w:asciiTheme="minorHAnsi" w:hAnsiTheme="minorHAnsi" w:cstheme="minorHAnsi"/>
                <w:bCs/>
                <w:szCs w:val="24"/>
              </w:rPr>
              <w:lastRenderedPageBreak/>
              <w:t>with the previous agreement.</w:t>
            </w:r>
          </w:p>
        </w:tc>
      </w:tr>
      <w:tr w:rsidR="000D0BE8" w:rsidRPr="000D0BE8" w14:paraId="07B0560E" w14:textId="77777777" w:rsidTr="00545A6D">
        <w:tc>
          <w:tcPr>
            <w:tcW w:w="3191" w:type="dxa"/>
            <w:shd w:val="clear" w:color="auto" w:fill="FFFF99"/>
          </w:tcPr>
          <w:p w14:paraId="3D89850E" w14:textId="77777777" w:rsidR="000D0BE8" w:rsidRPr="000D0BE8" w:rsidRDefault="000D0BE8" w:rsidP="000D0BE8">
            <w:pPr>
              <w:widowControl/>
              <w:rPr>
                <w:rFonts w:asciiTheme="minorHAnsi" w:hAnsiTheme="minorHAnsi" w:cstheme="minorHAnsi"/>
                <w:b/>
                <w:szCs w:val="24"/>
              </w:rPr>
            </w:pPr>
            <w:r w:rsidRPr="000D0BE8">
              <w:rPr>
                <w:rFonts w:asciiTheme="minorHAnsi" w:hAnsiTheme="minorHAnsi" w:cstheme="minorHAnsi"/>
                <w:b/>
                <w:szCs w:val="24"/>
              </w:rPr>
              <w:lastRenderedPageBreak/>
              <w:t xml:space="preserve">37. </w:t>
            </w:r>
            <w:r w:rsidRPr="000D0BE8">
              <w:rPr>
                <w:rFonts w:asciiTheme="minorHAnsi" w:hAnsiTheme="minorHAnsi" w:cstheme="minorHAnsi"/>
                <w:b/>
                <w:szCs w:val="24"/>
              </w:rPr>
              <w:tab/>
              <w:t xml:space="preserve">Ownership of Documents and Materials – Modified. </w:t>
            </w:r>
          </w:p>
          <w:p w14:paraId="5FC24F50" w14:textId="77777777" w:rsidR="000D0BE8" w:rsidRPr="000D0BE8" w:rsidRDefault="000D0BE8" w:rsidP="000D0BE8">
            <w:pPr>
              <w:widowControl/>
              <w:rPr>
                <w:rFonts w:asciiTheme="minorHAnsi" w:hAnsiTheme="minorHAnsi" w:cstheme="minorHAnsi"/>
                <w:szCs w:val="24"/>
              </w:rPr>
            </w:pPr>
          </w:p>
        </w:tc>
        <w:tc>
          <w:tcPr>
            <w:tcW w:w="3082" w:type="dxa"/>
            <w:shd w:val="clear" w:color="auto" w:fill="FFFF99"/>
          </w:tcPr>
          <w:p w14:paraId="3C69991D"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 xml:space="preserve">Delete entirely </w:t>
            </w:r>
          </w:p>
        </w:tc>
        <w:tc>
          <w:tcPr>
            <w:tcW w:w="3077" w:type="dxa"/>
            <w:shd w:val="clear" w:color="auto" w:fill="FFFF99"/>
          </w:tcPr>
          <w:p w14:paraId="3A23BA56"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West respectfully requests the deletion of this section. This is a sensitive area for West and we request deletion to avoid confusion that any material provided could be considered a work for hire.  West acquires its data from numerous third-party vendors, and provides access for its subscribers subject to its license agreement. West does not have the ability to transfer ownership of the data, only to allow access.  And as a result, West spends a significant amount of time protecting its intellectual property and the rights that have been entrusted to West via the source providers. This is consistent with the previous contract.</w:t>
            </w:r>
          </w:p>
        </w:tc>
      </w:tr>
      <w:tr w:rsidR="000D0BE8" w:rsidRPr="000D0BE8" w14:paraId="383117F5" w14:textId="77777777" w:rsidTr="00545A6D">
        <w:tc>
          <w:tcPr>
            <w:tcW w:w="3191" w:type="dxa"/>
            <w:shd w:val="clear" w:color="auto" w:fill="FFFF99"/>
          </w:tcPr>
          <w:p w14:paraId="12E1FE47" w14:textId="77777777" w:rsidR="000D0BE8" w:rsidRPr="000D0BE8" w:rsidRDefault="000D0BE8" w:rsidP="000D0BE8">
            <w:pPr>
              <w:widowControl/>
              <w:rPr>
                <w:rFonts w:asciiTheme="minorHAnsi" w:hAnsiTheme="minorHAnsi" w:cstheme="minorHAnsi"/>
                <w:b/>
                <w:szCs w:val="24"/>
              </w:rPr>
            </w:pPr>
            <w:r w:rsidRPr="000D0BE8">
              <w:rPr>
                <w:rFonts w:asciiTheme="minorHAnsi" w:hAnsiTheme="minorHAnsi" w:cstheme="minorHAnsi"/>
                <w:b/>
                <w:szCs w:val="24"/>
              </w:rPr>
              <w:t xml:space="preserve">40.  </w:t>
            </w:r>
            <w:r w:rsidRPr="000D0BE8">
              <w:rPr>
                <w:rFonts w:asciiTheme="minorHAnsi" w:hAnsiTheme="minorHAnsi" w:cstheme="minorHAnsi"/>
                <w:b/>
                <w:szCs w:val="24"/>
              </w:rPr>
              <w:tab/>
              <w:t xml:space="preserve">Progress Reports. </w:t>
            </w:r>
          </w:p>
          <w:p w14:paraId="02E49D33" w14:textId="77777777" w:rsidR="000D0BE8" w:rsidRPr="000D0BE8" w:rsidRDefault="000D0BE8" w:rsidP="000D0BE8">
            <w:pPr>
              <w:widowControl/>
              <w:rPr>
                <w:rFonts w:asciiTheme="minorHAnsi" w:hAnsiTheme="minorHAnsi" w:cstheme="minorHAnsi"/>
                <w:szCs w:val="24"/>
              </w:rPr>
            </w:pPr>
          </w:p>
        </w:tc>
        <w:tc>
          <w:tcPr>
            <w:tcW w:w="3082" w:type="dxa"/>
            <w:shd w:val="clear" w:color="auto" w:fill="FFFF99"/>
          </w:tcPr>
          <w:p w14:paraId="176F51DF"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Delete entirely</w:t>
            </w:r>
          </w:p>
        </w:tc>
        <w:tc>
          <w:tcPr>
            <w:tcW w:w="3077" w:type="dxa"/>
            <w:shd w:val="clear" w:color="auto" w:fill="FFFF99"/>
          </w:tcPr>
          <w:p w14:paraId="24A48F2A" w14:textId="77777777" w:rsidR="000D0BE8" w:rsidRPr="000D0BE8" w:rsidRDefault="000D0BE8" w:rsidP="000D0BE8">
            <w:pPr>
              <w:widowControl/>
              <w:rPr>
                <w:rFonts w:asciiTheme="minorHAnsi" w:hAnsiTheme="minorHAnsi" w:cstheme="minorHAnsi"/>
                <w:szCs w:val="24"/>
              </w:rPr>
            </w:pPr>
            <w:r w:rsidRPr="000D0BE8">
              <w:rPr>
                <w:rFonts w:asciiTheme="minorHAnsi" w:hAnsiTheme="minorHAnsi" w:cstheme="minorHAnsi"/>
                <w:szCs w:val="24"/>
              </w:rPr>
              <w:t xml:space="preserve">West respectfully request that this section be deleted, </w:t>
            </w:r>
            <w:r w:rsidRPr="000D0BE8">
              <w:rPr>
                <w:rFonts w:asciiTheme="minorHAnsi" w:hAnsiTheme="minorHAnsi" w:cstheme="minorHAnsi"/>
                <w:szCs w:val="24"/>
              </w:rPr>
              <w:lastRenderedPageBreak/>
              <w:t>as West proposes its best pricing in exchange for a commitment to a specified term.</w:t>
            </w:r>
          </w:p>
          <w:p w14:paraId="5814FCBF" w14:textId="77777777" w:rsidR="000D0BE8" w:rsidRPr="000D0BE8" w:rsidRDefault="000D0BE8" w:rsidP="000D0BE8">
            <w:pPr>
              <w:widowControl/>
              <w:rPr>
                <w:rFonts w:asciiTheme="minorHAnsi" w:hAnsiTheme="minorHAnsi" w:cstheme="minorHAnsi"/>
                <w:szCs w:val="24"/>
              </w:rPr>
            </w:pPr>
          </w:p>
        </w:tc>
      </w:tr>
    </w:tbl>
    <w:p w14:paraId="43C4042F" w14:textId="77777777" w:rsidR="00DC3CFD" w:rsidRDefault="00DC3CFD" w:rsidP="00DC3CFD">
      <w:pPr>
        <w:widowControl/>
        <w:rPr>
          <w:rFonts w:asciiTheme="minorHAnsi" w:hAnsiTheme="minorHAnsi" w:cstheme="minorHAnsi"/>
          <w:szCs w:val="24"/>
        </w:rPr>
      </w:pPr>
    </w:p>
    <w:p w14:paraId="15963933" w14:textId="77777777" w:rsidR="005F14D1" w:rsidRDefault="005F14D1" w:rsidP="005F14D1">
      <w:pPr>
        <w:widowControl/>
        <w:ind w:left="720"/>
        <w:rPr>
          <w:rFonts w:asciiTheme="minorHAnsi" w:hAnsiTheme="minorHAnsi" w:cstheme="minorHAnsi"/>
          <w:szCs w:val="24"/>
        </w:rPr>
      </w:pPr>
    </w:p>
    <w:p w14:paraId="1B16C362" w14:textId="28001AA7"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6676D8" w:rsidRPr="00A2550B">
        <w:rPr>
          <w:rFonts w:asciiTheme="minorHAnsi" w:hAnsiTheme="minorHAnsi" w:cstheme="minorHAnsi"/>
          <w:bCs/>
          <w:color w:val="FF0000"/>
          <w:szCs w:val="24"/>
        </w:rPr>
        <w:t xml:space="preserve">[AGENCY INSERT NUMBER NEEDED] (#)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8"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0"/>
        <w:gridCol w:w="4340"/>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1CE374E0" w:rsidR="0009502C" w:rsidRPr="00A2550B" w:rsidRDefault="00A001B8" w:rsidP="0009502C">
            <w:pPr>
              <w:rPr>
                <w:rFonts w:asciiTheme="minorHAnsi" w:hAnsiTheme="minorHAnsi" w:cstheme="minorHAnsi"/>
                <w:szCs w:val="24"/>
              </w:rPr>
            </w:pPr>
            <w:r>
              <w:rPr>
                <w:rFonts w:asciiTheme="minorHAnsi" w:hAnsiTheme="minorHAnsi" w:cstheme="minorHAnsi"/>
                <w:szCs w:val="24"/>
              </w:rPr>
              <w:t>New Jersey Office of Child Support Services</w:t>
            </w: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6B45805E" w:rsidR="0009502C" w:rsidRPr="00A2550B" w:rsidRDefault="009C1BD2" w:rsidP="0009502C">
            <w:pPr>
              <w:rPr>
                <w:rFonts w:asciiTheme="minorHAnsi" w:hAnsiTheme="minorHAnsi" w:cstheme="minorHAnsi"/>
                <w:szCs w:val="24"/>
              </w:rPr>
            </w:pPr>
            <w:r>
              <w:rPr>
                <w:rFonts w:asciiTheme="minorHAnsi" w:hAnsiTheme="minorHAnsi" w:cstheme="minorHAnsi"/>
                <w:szCs w:val="24"/>
              </w:rPr>
              <w:t>www.njchildsupport.org</w:t>
            </w: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41BFBDAA" w:rsidR="0009502C" w:rsidRPr="00A2550B" w:rsidRDefault="001B3E34" w:rsidP="0009502C">
            <w:pPr>
              <w:rPr>
                <w:rFonts w:asciiTheme="minorHAnsi" w:hAnsiTheme="minorHAnsi" w:cstheme="minorHAnsi"/>
                <w:szCs w:val="24"/>
              </w:rPr>
            </w:pPr>
            <w:r>
              <w:rPr>
                <w:rFonts w:asciiTheme="minorHAnsi" w:hAnsiTheme="minorHAnsi" w:cstheme="minorHAnsi"/>
                <w:szCs w:val="24"/>
              </w:rPr>
              <w:t>Andrew Cmil</w:t>
            </w: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5A2C5016" w:rsidR="008F4E85" w:rsidRPr="00A2550B" w:rsidRDefault="001B3E34" w:rsidP="0009502C">
            <w:pPr>
              <w:rPr>
                <w:rFonts w:asciiTheme="minorHAnsi" w:hAnsiTheme="minorHAnsi" w:cstheme="minorHAnsi"/>
                <w:szCs w:val="24"/>
              </w:rPr>
            </w:pPr>
            <w:r>
              <w:rPr>
                <w:rFonts w:asciiTheme="minorHAnsi" w:hAnsiTheme="minorHAnsi" w:cstheme="minorHAnsi"/>
                <w:szCs w:val="24"/>
              </w:rPr>
              <w:t>Chief of Operations</w:t>
            </w: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4ECAAEAA" w:rsidR="0009502C" w:rsidRPr="00A2550B" w:rsidRDefault="001B3E34" w:rsidP="0009502C">
            <w:pPr>
              <w:rPr>
                <w:rFonts w:asciiTheme="minorHAnsi" w:hAnsiTheme="minorHAnsi" w:cstheme="minorHAnsi"/>
                <w:szCs w:val="24"/>
              </w:rPr>
            </w:pPr>
            <w:r>
              <w:rPr>
                <w:rFonts w:asciiTheme="minorHAnsi" w:hAnsiTheme="minorHAnsi" w:cstheme="minorHAnsi"/>
                <w:szCs w:val="24"/>
              </w:rPr>
              <w:t>609-631-2781</w:t>
            </w: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177CA9DE" w:rsidR="0009502C" w:rsidRPr="00A2550B" w:rsidRDefault="004B0803" w:rsidP="0009502C">
            <w:pPr>
              <w:rPr>
                <w:rFonts w:asciiTheme="minorHAnsi" w:hAnsiTheme="minorHAnsi" w:cstheme="minorHAnsi"/>
                <w:szCs w:val="24"/>
              </w:rPr>
            </w:pPr>
            <w:r>
              <w:rPr>
                <w:rFonts w:asciiTheme="minorHAnsi" w:hAnsiTheme="minorHAnsi" w:cstheme="minorHAnsi"/>
                <w:szCs w:val="24"/>
              </w:rPr>
              <w:t>609-</w:t>
            </w:r>
            <w:r w:rsidR="00334298">
              <w:rPr>
                <w:rFonts w:asciiTheme="minorHAnsi" w:hAnsiTheme="minorHAnsi" w:cstheme="minorHAnsi"/>
                <w:szCs w:val="24"/>
              </w:rPr>
              <w:t>588-2064</w:t>
            </w: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2EA49272" w:rsidR="0009502C" w:rsidRPr="00A2550B" w:rsidRDefault="001B3E34" w:rsidP="0009502C">
            <w:pPr>
              <w:rPr>
                <w:rFonts w:asciiTheme="minorHAnsi" w:hAnsiTheme="minorHAnsi" w:cstheme="minorHAnsi"/>
                <w:szCs w:val="24"/>
              </w:rPr>
            </w:pPr>
            <w:r>
              <w:rPr>
                <w:rFonts w:asciiTheme="minorHAnsi" w:hAnsiTheme="minorHAnsi" w:cstheme="minorHAnsi"/>
                <w:szCs w:val="24"/>
              </w:rPr>
              <w:t>andrew.cmil@dhs.nj.gov</w:t>
            </w: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0ABB65D4" w:rsidR="0009502C" w:rsidRPr="00A2550B" w:rsidRDefault="009C1BD2" w:rsidP="0009502C">
            <w:pPr>
              <w:rPr>
                <w:rFonts w:asciiTheme="minorHAnsi" w:hAnsiTheme="minorHAnsi" w:cstheme="minorHAnsi"/>
                <w:szCs w:val="24"/>
              </w:rPr>
            </w:pPr>
            <w:r>
              <w:rPr>
                <w:rFonts w:asciiTheme="minorHAnsi" w:hAnsiTheme="minorHAnsi" w:cstheme="minorHAnsi"/>
                <w:szCs w:val="24"/>
              </w:rPr>
              <w:t>Government</w:t>
            </w: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6BB5EB0A" w:rsidR="0009502C" w:rsidRPr="00A2550B" w:rsidRDefault="000A7904" w:rsidP="0009502C">
            <w:pPr>
              <w:rPr>
                <w:rFonts w:asciiTheme="minorHAnsi" w:hAnsiTheme="minorHAnsi" w:cstheme="minorHAnsi"/>
                <w:szCs w:val="24"/>
              </w:rPr>
            </w:pPr>
            <w:r>
              <w:rPr>
                <w:rFonts w:asciiTheme="minorHAnsi" w:hAnsiTheme="minorHAnsi" w:cstheme="minorHAnsi"/>
                <w:szCs w:val="24"/>
              </w:rPr>
              <w:t>Ohio</w:t>
            </w:r>
            <w:r w:rsidR="00DC0E7B">
              <w:rPr>
                <w:rFonts w:asciiTheme="minorHAnsi" w:hAnsiTheme="minorHAnsi" w:cstheme="minorHAnsi"/>
                <w:szCs w:val="24"/>
              </w:rPr>
              <w:t xml:space="preserve"> </w:t>
            </w:r>
            <w:r w:rsidR="00EF2B6F">
              <w:rPr>
                <w:rFonts w:asciiTheme="minorHAnsi" w:hAnsiTheme="minorHAnsi" w:cstheme="minorHAnsi"/>
                <w:szCs w:val="24"/>
              </w:rPr>
              <w:t>CSEA Directors’ Association (Child Support Enforcement Agencies)</w:t>
            </w: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2876D243" w:rsidR="0009502C" w:rsidRPr="00A2550B" w:rsidRDefault="00C50B13" w:rsidP="0009502C">
            <w:pPr>
              <w:rPr>
                <w:rFonts w:asciiTheme="minorHAnsi" w:hAnsiTheme="minorHAnsi" w:cstheme="minorHAnsi"/>
                <w:szCs w:val="24"/>
              </w:rPr>
            </w:pPr>
            <w:r>
              <w:rPr>
                <w:rFonts w:asciiTheme="minorHAnsi" w:hAnsiTheme="minorHAnsi" w:cstheme="minorHAnsi"/>
                <w:szCs w:val="24"/>
              </w:rPr>
              <w:t>1103 Schrock Rd, Suite 309</w:t>
            </w: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2751A01B" w:rsidR="0009502C" w:rsidRPr="00A2550B" w:rsidRDefault="00C50B13" w:rsidP="0009502C">
            <w:pPr>
              <w:rPr>
                <w:rFonts w:asciiTheme="minorHAnsi" w:hAnsiTheme="minorHAnsi" w:cstheme="minorHAnsi"/>
                <w:szCs w:val="24"/>
              </w:rPr>
            </w:pPr>
            <w:r>
              <w:rPr>
                <w:rFonts w:asciiTheme="minorHAnsi" w:hAnsiTheme="minorHAnsi" w:cstheme="minorHAnsi"/>
                <w:szCs w:val="24"/>
              </w:rPr>
              <w:t>Columbus, Ohio 43229</w:t>
            </w: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55141A76" w:rsidR="0009502C" w:rsidRPr="00A2550B" w:rsidRDefault="00EB37F2" w:rsidP="0009502C">
            <w:pPr>
              <w:rPr>
                <w:rFonts w:asciiTheme="minorHAnsi" w:hAnsiTheme="minorHAnsi" w:cstheme="minorHAnsi"/>
                <w:szCs w:val="24"/>
              </w:rPr>
            </w:pPr>
            <w:r>
              <w:rPr>
                <w:rFonts w:asciiTheme="minorHAnsi" w:hAnsiTheme="minorHAnsi" w:cstheme="minorHAnsi"/>
                <w:szCs w:val="24"/>
              </w:rPr>
              <w:t>www.ocda.us</w:t>
            </w: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25E3BD92" w:rsidR="0009502C" w:rsidRPr="00A2550B" w:rsidRDefault="00EB37F2" w:rsidP="0009502C">
            <w:pPr>
              <w:rPr>
                <w:rFonts w:asciiTheme="minorHAnsi" w:hAnsiTheme="minorHAnsi" w:cstheme="minorHAnsi"/>
                <w:szCs w:val="24"/>
              </w:rPr>
            </w:pPr>
            <w:r>
              <w:rPr>
                <w:rFonts w:asciiTheme="minorHAnsi" w:hAnsiTheme="minorHAnsi" w:cstheme="minorHAnsi"/>
                <w:szCs w:val="24"/>
              </w:rPr>
              <w:t>Christy Roden</w:t>
            </w:r>
            <w:r w:rsidR="003519B5">
              <w:rPr>
                <w:rFonts w:asciiTheme="minorHAnsi" w:hAnsiTheme="minorHAnsi" w:cstheme="minorHAnsi"/>
                <w:szCs w:val="24"/>
              </w:rPr>
              <w:t>is</w:t>
            </w:r>
            <w:r>
              <w:rPr>
                <w:rFonts w:asciiTheme="minorHAnsi" w:hAnsiTheme="minorHAnsi" w:cstheme="minorHAnsi"/>
                <w:szCs w:val="24"/>
              </w:rPr>
              <w:t>er</w:t>
            </w: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82A48B1" w:rsidR="008F4E85" w:rsidRPr="00A2550B" w:rsidRDefault="003519B5" w:rsidP="0009502C">
            <w:pPr>
              <w:rPr>
                <w:rFonts w:asciiTheme="minorHAnsi" w:hAnsiTheme="minorHAnsi" w:cstheme="minorHAnsi"/>
                <w:szCs w:val="24"/>
              </w:rPr>
            </w:pPr>
            <w:r>
              <w:rPr>
                <w:rFonts w:asciiTheme="minorHAnsi" w:hAnsiTheme="minorHAnsi" w:cstheme="minorHAnsi"/>
                <w:szCs w:val="24"/>
              </w:rPr>
              <w:t>Program Manager</w:t>
            </w: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2C8E9E2C" w:rsidR="0009502C" w:rsidRPr="00A2550B" w:rsidRDefault="003519B5" w:rsidP="0009502C">
            <w:pPr>
              <w:rPr>
                <w:rFonts w:asciiTheme="minorHAnsi" w:hAnsiTheme="minorHAnsi" w:cstheme="minorHAnsi"/>
                <w:szCs w:val="24"/>
              </w:rPr>
            </w:pPr>
            <w:r>
              <w:rPr>
                <w:rFonts w:asciiTheme="minorHAnsi" w:hAnsiTheme="minorHAnsi" w:cstheme="minorHAnsi"/>
                <w:szCs w:val="24"/>
              </w:rPr>
              <w:t>614-846-6552</w:t>
            </w: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Company Fax Number</w:t>
            </w:r>
          </w:p>
        </w:tc>
        <w:tc>
          <w:tcPr>
            <w:tcW w:w="4428" w:type="dxa"/>
            <w:shd w:val="clear" w:color="auto" w:fill="FFFF99"/>
          </w:tcPr>
          <w:p w14:paraId="6E786E3F" w14:textId="0927CF35" w:rsidR="0009502C" w:rsidRPr="00A2550B" w:rsidRDefault="003519B5" w:rsidP="0009502C">
            <w:pPr>
              <w:rPr>
                <w:rFonts w:asciiTheme="minorHAnsi" w:hAnsiTheme="minorHAnsi" w:cstheme="minorHAnsi"/>
                <w:szCs w:val="24"/>
              </w:rPr>
            </w:pPr>
            <w:r>
              <w:rPr>
                <w:rFonts w:asciiTheme="minorHAnsi" w:hAnsiTheme="minorHAnsi" w:cstheme="minorHAnsi"/>
                <w:szCs w:val="24"/>
              </w:rPr>
              <w:t>614-846-6693</w:t>
            </w: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39827B69" w:rsidR="0009502C" w:rsidRPr="00A2550B" w:rsidRDefault="003519B5" w:rsidP="0009502C">
            <w:pPr>
              <w:rPr>
                <w:rFonts w:asciiTheme="minorHAnsi" w:hAnsiTheme="minorHAnsi" w:cstheme="minorHAnsi"/>
                <w:szCs w:val="24"/>
              </w:rPr>
            </w:pPr>
            <w:r>
              <w:rPr>
                <w:rFonts w:asciiTheme="minorHAnsi" w:hAnsiTheme="minorHAnsi" w:cstheme="minorHAnsi"/>
                <w:szCs w:val="24"/>
              </w:rPr>
              <w:t>christy@ocda.us</w:t>
            </w: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3EF86EB4" w:rsidR="0009502C" w:rsidRPr="00A2550B" w:rsidRDefault="00E714F1" w:rsidP="0009502C">
            <w:pPr>
              <w:rPr>
                <w:rFonts w:asciiTheme="minorHAnsi" w:hAnsiTheme="minorHAnsi" w:cstheme="minorHAnsi"/>
                <w:szCs w:val="24"/>
              </w:rPr>
            </w:pPr>
            <w:r>
              <w:rPr>
                <w:rFonts w:asciiTheme="minorHAnsi" w:hAnsiTheme="minorHAnsi" w:cstheme="minorHAnsi"/>
                <w:szCs w:val="24"/>
              </w:rPr>
              <w:t>Government</w:t>
            </w: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391301DD" w:rsidR="0009502C" w:rsidRPr="00A2550B" w:rsidRDefault="00E714F1" w:rsidP="0009502C">
            <w:pPr>
              <w:rPr>
                <w:rFonts w:asciiTheme="minorHAnsi" w:hAnsiTheme="minorHAnsi" w:cstheme="minorHAnsi"/>
                <w:szCs w:val="24"/>
              </w:rPr>
            </w:pPr>
            <w:r>
              <w:rPr>
                <w:rFonts w:asciiTheme="minorHAnsi" w:hAnsiTheme="minorHAnsi" w:cstheme="minorHAnsi"/>
                <w:szCs w:val="24"/>
              </w:rPr>
              <w:t>NA</w:t>
            </w:r>
            <w:r w:rsidR="00DB0B3A">
              <w:rPr>
                <w:rFonts w:asciiTheme="minorHAnsi" w:hAnsiTheme="minorHAnsi" w:cstheme="minorHAnsi"/>
                <w:szCs w:val="24"/>
              </w:rPr>
              <w:t xml:space="preserve"> (Per </w:t>
            </w:r>
            <w:r w:rsidR="0047789B">
              <w:rPr>
                <w:rFonts w:asciiTheme="minorHAnsi" w:hAnsiTheme="minorHAnsi" w:cstheme="minorHAnsi"/>
                <w:szCs w:val="24"/>
              </w:rPr>
              <w:t>the Q&amp;A, West is providing one set of references that can serve for both Components 1 and 2.)</w:t>
            </w: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57609CB4" w:rsidR="005A0FC8" w:rsidRPr="005F14D1" w:rsidRDefault="0009502C" w:rsidP="005F14D1">
      <w:pPr>
        <w:pStyle w:val="ListParagraph"/>
        <w:widowControl/>
        <w:numPr>
          <w:ilvl w:val="2"/>
          <w:numId w:val="15"/>
        </w:numPr>
        <w:rPr>
          <w:rFonts w:asciiTheme="minorHAnsi" w:hAnsiTheme="minorHAnsi" w:cstheme="minorHAnsi"/>
          <w:szCs w:val="24"/>
        </w:rPr>
      </w:pPr>
      <w:bookmarkStart w:id="2" w:name="_Hlk76535803"/>
      <w:r w:rsidRPr="005F14D1">
        <w:rPr>
          <w:rFonts w:asciiTheme="minorHAnsi" w:hAnsiTheme="minorHAnsi" w:cstheme="minorHAnsi"/>
          <w:b/>
          <w:szCs w:val="24"/>
        </w:rPr>
        <w:t xml:space="preserve">Registration to do Business </w:t>
      </w:r>
      <w:r w:rsidR="00A35F83" w:rsidRPr="005F14D1">
        <w:rPr>
          <w:rFonts w:asciiTheme="minorHAnsi" w:hAnsiTheme="minorHAnsi" w:cstheme="minorHAnsi"/>
          <w:bCs/>
          <w:szCs w:val="24"/>
        </w:rPr>
        <w:t>–</w:t>
      </w:r>
      <w:r w:rsidRPr="005F14D1">
        <w:rPr>
          <w:rFonts w:asciiTheme="minorHAnsi" w:hAnsiTheme="minorHAnsi" w:cstheme="minorHAnsi"/>
          <w:bCs/>
          <w:szCs w:val="24"/>
        </w:rPr>
        <w:t xml:space="preserve"> </w:t>
      </w:r>
      <w:r w:rsidR="00A35F83" w:rsidRPr="005F14D1">
        <w:rPr>
          <w:rFonts w:asciiTheme="minorHAnsi" w:hAnsiTheme="minorHAnsi" w:cstheme="minorHAnsi"/>
          <w:bCs/>
          <w:szCs w:val="24"/>
        </w:rPr>
        <w:t>Per RFP 2.3.</w:t>
      </w:r>
      <w:r w:rsidR="002F3BEF" w:rsidRPr="005F14D1">
        <w:rPr>
          <w:rFonts w:asciiTheme="minorHAnsi" w:hAnsiTheme="minorHAnsi" w:cstheme="minorHAnsi"/>
          <w:bCs/>
          <w:szCs w:val="24"/>
        </w:rPr>
        <w:t>8</w:t>
      </w:r>
      <w:r w:rsidR="00A35F83" w:rsidRPr="005F14D1">
        <w:rPr>
          <w:rFonts w:asciiTheme="minorHAnsi" w:hAnsiTheme="minorHAnsi" w:cstheme="minorHAnsi"/>
          <w:bCs/>
          <w:szCs w:val="24"/>
        </w:rPr>
        <w:t>,</w:t>
      </w:r>
      <w:r w:rsidR="00A35F83" w:rsidRPr="005F14D1">
        <w:rPr>
          <w:rFonts w:asciiTheme="minorHAnsi" w:hAnsiTheme="minorHAnsi" w:cstheme="minorHAnsi"/>
          <w:b/>
          <w:szCs w:val="24"/>
        </w:rPr>
        <w:t xml:space="preserve"> </w:t>
      </w:r>
      <w:r w:rsidRPr="005F14D1">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5F14D1">
        <w:rPr>
          <w:rFonts w:asciiTheme="minorHAnsi" w:hAnsiTheme="minorHAnsi" w:cstheme="minorHAnsi"/>
          <w:szCs w:val="24"/>
        </w:rPr>
        <w:t xml:space="preserve">Secretary of State </w:t>
      </w:r>
      <w:r w:rsidRPr="005F14D1">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2"/>
    </w:p>
    <w:p w14:paraId="39F71800" w14:textId="77777777" w:rsidR="005F14D1" w:rsidRPr="005F14D1" w:rsidRDefault="005F14D1" w:rsidP="005F14D1">
      <w:pPr>
        <w:pStyle w:val="ListParagraph"/>
        <w:widowControl/>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132F807A" w:rsidR="0009502C" w:rsidRPr="00A2550B" w:rsidRDefault="001F4189" w:rsidP="0009502C">
            <w:pPr>
              <w:rPr>
                <w:rFonts w:asciiTheme="minorHAnsi" w:hAnsiTheme="minorHAnsi" w:cstheme="minorHAnsi"/>
                <w:szCs w:val="24"/>
              </w:rPr>
            </w:pPr>
            <w:r>
              <w:rPr>
                <w:rFonts w:asciiTheme="minorHAnsi" w:hAnsiTheme="minorHAnsi" w:cstheme="minorHAnsi"/>
                <w:szCs w:val="24"/>
              </w:rPr>
              <w:t>West is currently registered to do business in the state of Indiana</w:t>
            </w:r>
            <w:r w:rsidR="00E65CF5">
              <w:rPr>
                <w:rFonts w:asciiTheme="minorHAnsi" w:hAnsiTheme="minorHAnsi" w:cstheme="minorHAnsi"/>
                <w:szCs w:val="24"/>
              </w:rPr>
              <w:t xml:space="preserve"> and is in good standing with the Indiana Secretary of State</w:t>
            </w:r>
            <w:r w:rsidR="005667BF">
              <w:rPr>
                <w:rFonts w:asciiTheme="minorHAnsi" w:hAnsiTheme="minorHAnsi" w:cstheme="minorHAnsi"/>
                <w:szCs w:val="24"/>
              </w:rPr>
              <w:t>.</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4F7C5B2" w:rsidR="005A0FC8" w:rsidRPr="005F14D1"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09321B9A" w:rsidR="0009502C" w:rsidRPr="00A2550B" w:rsidRDefault="00C16379" w:rsidP="0009502C">
            <w:pPr>
              <w:rPr>
                <w:rFonts w:asciiTheme="minorHAnsi" w:hAnsiTheme="minorHAnsi" w:cstheme="minorHAnsi"/>
                <w:szCs w:val="24"/>
              </w:rPr>
            </w:pPr>
            <w:r>
              <w:rPr>
                <w:rFonts w:asciiTheme="minorHAnsi" w:hAnsiTheme="minorHAnsi" w:cstheme="minorHAnsi"/>
                <w:szCs w:val="24"/>
              </w:rPr>
              <w:t>We have included</w:t>
            </w:r>
            <w:r w:rsidR="00E12085">
              <w:rPr>
                <w:rFonts w:asciiTheme="minorHAnsi" w:hAnsiTheme="minorHAnsi" w:cstheme="minorHAnsi"/>
                <w:szCs w:val="24"/>
              </w:rPr>
              <w:t xml:space="preserve"> with our proposal</w:t>
            </w:r>
            <w:r>
              <w:rPr>
                <w:rFonts w:asciiTheme="minorHAnsi" w:hAnsiTheme="minorHAnsi" w:cstheme="minorHAnsi"/>
                <w:szCs w:val="24"/>
              </w:rPr>
              <w:t xml:space="preserve"> our Secretary’s Certificate, which documents the </w:t>
            </w:r>
            <w:r w:rsidR="00E12085">
              <w:rPr>
                <w:rFonts w:asciiTheme="minorHAnsi" w:hAnsiTheme="minorHAnsi" w:cstheme="minorHAnsi"/>
                <w:szCs w:val="24"/>
              </w:rPr>
              <w:t>authority for our signatory.</w:t>
            </w: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00091153">
      <w:pPr>
        <w:widowControl/>
        <w:numPr>
          <w:ilvl w:val="2"/>
          <w:numId w:val="16"/>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4056D8FA" w:rsidR="00641F69" w:rsidRPr="005F14D1" w:rsidRDefault="00641F69" w:rsidP="00516AB3">
      <w:pPr>
        <w:pStyle w:val="ListParagraph"/>
        <w:widowControl/>
        <w:numPr>
          <w:ilvl w:val="0"/>
          <w:numId w:val="24"/>
        </w:numPr>
        <w:ind w:left="1080"/>
        <w:rPr>
          <w:rFonts w:asciiTheme="minorHAnsi" w:hAnsiTheme="minorHAnsi" w:cstheme="minorHAnsi"/>
          <w:szCs w:val="24"/>
        </w:rPr>
      </w:pPr>
      <w:r w:rsidRPr="00516AB3">
        <w:rPr>
          <w:rFonts w:asciiTheme="minorHAnsi" w:hAnsiTheme="minorHAnsi" w:cstheme="minorHAnsi"/>
          <w:color w:val="000000"/>
          <w:szCs w:val="24"/>
        </w:rPr>
        <w:t xml:space="preserve">Per RFP Section 1.21, Minority &amp; Women’s Business Enterprises (MBE/WBE), and 1.22 Indiana Veteran Owned Small Business Subcontractor (IVOSB), explain process followed to engage with potential MBE, WBE and IVOSB </w:t>
      </w:r>
      <w:r w:rsidRPr="00516AB3">
        <w:rPr>
          <w:rFonts w:asciiTheme="minorHAnsi" w:hAnsiTheme="minorHAnsi" w:cstheme="minorHAnsi"/>
          <w:color w:val="000000"/>
          <w:szCs w:val="24"/>
        </w:rPr>
        <w:lastRenderedPageBreak/>
        <w:t>owned, Indiana certified businesses listed on Division of Supplier Diversity site.  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1481F80A" w14:textId="77777777" w:rsidTr="00641F69">
        <w:trPr>
          <w:trHeight w:val="278"/>
        </w:trPr>
        <w:tc>
          <w:tcPr>
            <w:tcW w:w="8856" w:type="dxa"/>
            <w:shd w:val="clear" w:color="auto" w:fill="FFFF99"/>
          </w:tcPr>
          <w:p w14:paraId="4C2A7972" w14:textId="3BF55E18" w:rsidR="00641F69" w:rsidRPr="00A2550B" w:rsidRDefault="002E4730" w:rsidP="00164F5D">
            <w:pPr>
              <w:rPr>
                <w:rFonts w:asciiTheme="minorHAnsi" w:hAnsiTheme="minorHAnsi" w:cstheme="minorHAnsi"/>
                <w:szCs w:val="24"/>
              </w:rPr>
            </w:pPr>
            <w:bookmarkStart w:id="3" w:name="_Hlk80678618"/>
            <w:r>
              <w:rPr>
                <w:rFonts w:asciiTheme="minorHAnsi" w:hAnsiTheme="minorHAnsi" w:cstheme="minorHAnsi"/>
                <w:szCs w:val="24"/>
              </w:rPr>
              <w:t xml:space="preserve">West will not be engaging subcontractors for this contract. See explanation </w:t>
            </w:r>
            <w:r w:rsidR="006B0B71">
              <w:rPr>
                <w:rFonts w:asciiTheme="minorHAnsi" w:hAnsiTheme="minorHAnsi" w:cstheme="minorHAnsi"/>
                <w:szCs w:val="24"/>
              </w:rPr>
              <w:t>in response to ‘b’ below.</w:t>
            </w:r>
          </w:p>
        </w:tc>
      </w:tr>
      <w:bookmarkEnd w:id="3"/>
    </w:tbl>
    <w:p w14:paraId="2B532E22" w14:textId="1C62C60B" w:rsidR="00641F69" w:rsidRDefault="00641F69" w:rsidP="00641F69">
      <w:pPr>
        <w:widowControl/>
        <w:rPr>
          <w:rFonts w:asciiTheme="minorHAnsi" w:hAnsiTheme="minorHAnsi" w:cstheme="minorHAnsi"/>
          <w:color w:val="000000"/>
          <w:szCs w:val="24"/>
        </w:rPr>
      </w:pPr>
    </w:p>
    <w:p w14:paraId="1F70F40C" w14:textId="512D2CBD" w:rsidR="00641F69" w:rsidRPr="005F14D1" w:rsidRDefault="00641F69" w:rsidP="00516AB3">
      <w:pPr>
        <w:pStyle w:val="ListParagraph"/>
        <w:widowControl/>
        <w:numPr>
          <w:ilvl w:val="0"/>
          <w:numId w:val="24"/>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242B8D04" w14:textId="77777777" w:rsidTr="00164F5D">
        <w:trPr>
          <w:trHeight w:val="278"/>
        </w:trPr>
        <w:tc>
          <w:tcPr>
            <w:tcW w:w="8856" w:type="dxa"/>
            <w:shd w:val="clear" w:color="auto" w:fill="FFFF99"/>
          </w:tcPr>
          <w:p w14:paraId="7871CF5C" w14:textId="193A5494" w:rsidR="00E52175" w:rsidRPr="00E52175" w:rsidRDefault="00046588" w:rsidP="00E52175">
            <w:pPr>
              <w:rPr>
                <w:rFonts w:asciiTheme="minorHAnsi" w:hAnsiTheme="minorHAnsi" w:cstheme="minorHAnsi"/>
                <w:szCs w:val="24"/>
              </w:rPr>
            </w:pPr>
            <w:r>
              <w:rPr>
                <w:rFonts w:asciiTheme="minorHAnsi" w:hAnsiTheme="minorHAnsi" w:cstheme="minorHAnsi"/>
                <w:szCs w:val="24"/>
              </w:rPr>
              <w:t>The offered product is an online</w:t>
            </w:r>
            <w:r w:rsidR="00E65C28">
              <w:rPr>
                <w:rFonts w:asciiTheme="minorHAnsi" w:hAnsiTheme="minorHAnsi" w:cstheme="minorHAnsi"/>
                <w:szCs w:val="24"/>
              </w:rPr>
              <w:t xml:space="preserve"> search portal. There are no professional services or labor categories involved</w:t>
            </w:r>
            <w:r w:rsidR="00124CB7">
              <w:rPr>
                <w:rFonts w:asciiTheme="minorHAnsi" w:hAnsiTheme="minorHAnsi" w:cstheme="minorHAnsi"/>
                <w:szCs w:val="24"/>
              </w:rPr>
              <w:t>; therefore, the nature of the capabilities does not facilitate subcontractor involvement</w:t>
            </w:r>
            <w:r w:rsidR="00ED32B4">
              <w:rPr>
                <w:rFonts w:asciiTheme="minorHAnsi" w:hAnsiTheme="minorHAnsi" w:cstheme="minorHAnsi"/>
                <w:szCs w:val="24"/>
              </w:rPr>
              <w:t xml:space="preserve">. </w:t>
            </w:r>
            <w:r w:rsidR="00007F53">
              <w:rPr>
                <w:rFonts w:asciiTheme="minorHAnsi" w:hAnsiTheme="minorHAnsi" w:cstheme="minorHAnsi"/>
                <w:szCs w:val="24"/>
              </w:rPr>
              <w:t>Therefore, West will not be using</w:t>
            </w:r>
            <w:r w:rsidR="00A06D14">
              <w:rPr>
                <w:rFonts w:asciiTheme="minorHAnsi" w:hAnsiTheme="minorHAnsi" w:cstheme="minorHAnsi"/>
                <w:szCs w:val="24"/>
              </w:rPr>
              <w:t xml:space="preserve"> subcontractors in any of the categories, i.e., MBE, WBE, or IVOSB. </w:t>
            </w:r>
            <w:r w:rsidR="00E52175" w:rsidRPr="00E52175">
              <w:rPr>
                <w:rFonts w:asciiTheme="minorHAnsi" w:hAnsiTheme="minorHAnsi" w:cstheme="minorHAnsi"/>
                <w:szCs w:val="24"/>
              </w:rPr>
              <w:t>Thomson Reuters is committed to providing opportunities for diverse and sustainable businesses to prosper</w:t>
            </w:r>
            <w:r w:rsidR="00E52175">
              <w:rPr>
                <w:rFonts w:asciiTheme="minorHAnsi" w:hAnsiTheme="minorHAnsi" w:cstheme="minorHAnsi"/>
                <w:szCs w:val="24"/>
              </w:rPr>
              <w:t xml:space="preserve"> </w:t>
            </w:r>
            <w:r w:rsidR="00E52175" w:rsidRPr="00E52175">
              <w:rPr>
                <w:rFonts w:asciiTheme="minorHAnsi" w:hAnsiTheme="minorHAnsi" w:cstheme="minorHAnsi"/>
                <w:szCs w:val="24"/>
              </w:rPr>
              <w:t>by actively engaging suppliers that help us address the diverse needs of the global marketplace, and by</w:t>
            </w:r>
          </w:p>
          <w:p w14:paraId="3775257A" w14:textId="3F4B8C1A" w:rsidR="00641F69" w:rsidRPr="00A2550B" w:rsidRDefault="00E52175" w:rsidP="00E52175">
            <w:pPr>
              <w:rPr>
                <w:rFonts w:asciiTheme="minorHAnsi" w:hAnsiTheme="minorHAnsi" w:cstheme="minorHAnsi"/>
                <w:szCs w:val="24"/>
              </w:rPr>
            </w:pPr>
            <w:r w:rsidRPr="00E52175">
              <w:rPr>
                <w:rFonts w:asciiTheme="minorHAnsi" w:hAnsiTheme="minorHAnsi" w:cstheme="minorHAnsi"/>
                <w:szCs w:val="24"/>
              </w:rPr>
              <w:t>promoting financial inclusion practices for the benefit of minority groups.</w:t>
            </w:r>
            <w:r>
              <w:rPr>
                <w:rFonts w:asciiTheme="minorHAnsi" w:hAnsiTheme="minorHAnsi" w:cstheme="minorHAnsi"/>
                <w:szCs w:val="24"/>
              </w:rPr>
              <w:t xml:space="preserve"> </w:t>
            </w:r>
            <w:r w:rsidRPr="00E52175">
              <w:rPr>
                <w:rFonts w:asciiTheme="minorHAnsi" w:hAnsiTheme="minorHAnsi" w:cstheme="minorHAnsi"/>
                <w:szCs w:val="24"/>
              </w:rPr>
              <w:t>We expect companies seeking to do business with Thomson Reuters to demonstrate that the goods and</w:t>
            </w:r>
            <w:r>
              <w:rPr>
                <w:rFonts w:asciiTheme="minorHAnsi" w:hAnsiTheme="minorHAnsi" w:cstheme="minorHAnsi"/>
                <w:szCs w:val="24"/>
              </w:rPr>
              <w:t xml:space="preserve"> </w:t>
            </w:r>
            <w:r w:rsidRPr="00E52175">
              <w:rPr>
                <w:rFonts w:asciiTheme="minorHAnsi" w:hAnsiTheme="minorHAnsi" w:cstheme="minorHAnsi"/>
                <w:szCs w:val="24"/>
              </w:rPr>
              <w:t>services they provide to us come from sources that share and are committed to our values, such that their</w:t>
            </w:r>
            <w:r>
              <w:rPr>
                <w:rFonts w:asciiTheme="minorHAnsi" w:hAnsiTheme="minorHAnsi" w:cstheme="minorHAnsi"/>
                <w:szCs w:val="24"/>
              </w:rPr>
              <w:t xml:space="preserve"> </w:t>
            </w:r>
            <w:r w:rsidRPr="00E52175">
              <w:rPr>
                <w:rFonts w:asciiTheme="minorHAnsi" w:hAnsiTheme="minorHAnsi" w:cstheme="minorHAnsi"/>
                <w:szCs w:val="24"/>
              </w:rPr>
              <w:t>business practices are consistent with the needs and expectations of our customers, investors, and the</w:t>
            </w:r>
            <w:r>
              <w:rPr>
                <w:rFonts w:asciiTheme="minorHAnsi" w:hAnsiTheme="minorHAnsi" w:cstheme="minorHAnsi"/>
                <w:szCs w:val="24"/>
              </w:rPr>
              <w:t xml:space="preserve"> </w:t>
            </w:r>
            <w:r w:rsidRPr="00E52175">
              <w:rPr>
                <w:rFonts w:asciiTheme="minorHAnsi" w:hAnsiTheme="minorHAnsi" w:cstheme="minorHAnsi"/>
                <w:szCs w:val="24"/>
              </w:rPr>
              <w:t xml:space="preserve">global community we serve. </w:t>
            </w:r>
            <w:r w:rsidR="00A30ACC">
              <w:rPr>
                <w:rFonts w:asciiTheme="minorHAnsi" w:hAnsiTheme="minorHAnsi" w:cstheme="minorHAnsi"/>
                <w:szCs w:val="24"/>
              </w:rPr>
              <w:t xml:space="preserve">West </w:t>
            </w:r>
            <w:r w:rsidR="00B53937">
              <w:rPr>
                <w:rFonts w:asciiTheme="minorHAnsi" w:hAnsiTheme="minorHAnsi" w:cstheme="minorHAnsi"/>
                <w:szCs w:val="24"/>
              </w:rPr>
              <w:t>has</w:t>
            </w:r>
            <w:r w:rsidR="00A30ACC">
              <w:rPr>
                <w:rFonts w:asciiTheme="minorHAnsi" w:hAnsiTheme="minorHAnsi" w:cstheme="minorHAnsi"/>
                <w:szCs w:val="24"/>
              </w:rPr>
              <w:t xml:space="preserve"> a company-wide, commercial subcontracting plan </w:t>
            </w:r>
            <w:r w:rsidR="00E30F06">
              <w:rPr>
                <w:rFonts w:asciiTheme="minorHAnsi" w:hAnsiTheme="minorHAnsi" w:cstheme="minorHAnsi"/>
                <w:szCs w:val="24"/>
              </w:rPr>
              <w:t>that is approved annually by the General Services Administration and the Small Business Administration</w:t>
            </w:r>
            <w:r w:rsidR="00B53937">
              <w:rPr>
                <w:rFonts w:asciiTheme="minorHAnsi" w:hAnsiTheme="minorHAnsi" w:cstheme="minorHAnsi"/>
                <w:szCs w:val="24"/>
              </w:rPr>
              <w:t xml:space="preserve"> and is applicable to all government business</w:t>
            </w:r>
            <w:r w:rsidR="00E30F06">
              <w:rPr>
                <w:rFonts w:asciiTheme="minorHAnsi" w:hAnsiTheme="minorHAnsi" w:cstheme="minorHAnsi"/>
                <w:szCs w:val="24"/>
              </w:rPr>
              <w:t>.</w:t>
            </w:r>
            <w:r w:rsidR="00E86554">
              <w:rPr>
                <w:rFonts w:asciiTheme="minorHAnsi" w:hAnsiTheme="minorHAnsi" w:cstheme="minorHAnsi"/>
                <w:szCs w:val="24"/>
              </w:rPr>
              <w:t xml:space="preserve"> This subcontracting plan </w:t>
            </w:r>
            <w:r w:rsidR="0033601F">
              <w:rPr>
                <w:rFonts w:asciiTheme="minorHAnsi" w:hAnsiTheme="minorHAnsi" w:cstheme="minorHAnsi"/>
                <w:szCs w:val="24"/>
              </w:rPr>
              <w:t xml:space="preserve">applies to indirect participation by </w:t>
            </w:r>
            <w:r w:rsidR="00B53937">
              <w:rPr>
                <w:rFonts w:asciiTheme="minorHAnsi" w:hAnsiTheme="minorHAnsi" w:cstheme="minorHAnsi"/>
                <w:szCs w:val="24"/>
              </w:rPr>
              <w:t xml:space="preserve">suppliers in </w:t>
            </w:r>
            <w:r w:rsidR="0033601F">
              <w:rPr>
                <w:rFonts w:asciiTheme="minorHAnsi" w:hAnsiTheme="minorHAnsi" w:cstheme="minorHAnsi"/>
                <w:szCs w:val="24"/>
              </w:rPr>
              <w:t>diverse business categories.</w:t>
            </w:r>
            <w:r w:rsidR="005F1879">
              <w:rPr>
                <w:rFonts w:asciiTheme="minorHAnsi" w:hAnsiTheme="minorHAnsi" w:cstheme="minorHAnsi"/>
                <w:szCs w:val="24"/>
              </w:rPr>
              <w:t xml:space="preserve"> </w:t>
            </w:r>
            <w:r w:rsidR="008C3365">
              <w:rPr>
                <w:rFonts w:asciiTheme="minorHAnsi" w:hAnsiTheme="minorHAnsi" w:cstheme="minorHAnsi"/>
                <w:szCs w:val="24"/>
              </w:rPr>
              <w:t xml:space="preserve"> </w:t>
            </w:r>
            <w:r w:rsidR="00180A67">
              <w:rPr>
                <w:rFonts w:asciiTheme="minorHAnsi" w:hAnsiTheme="minorHAnsi" w:cstheme="minorHAnsi"/>
                <w:szCs w:val="24"/>
              </w:rPr>
              <w:t>A copy is available upon request.</w:t>
            </w:r>
          </w:p>
        </w:tc>
      </w:tr>
    </w:tbl>
    <w:p w14:paraId="37B3E82E" w14:textId="77777777" w:rsidR="00641F69" w:rsidRPr="00641F69" w:rsidRDefault="00641F69" w:rsidP="00641F69">
      <w:pPr>
        <w:widowControl/>
        <w:ind w:left="720"/>
        <w:rPr>
          <w:rFonts w:asciiTheme="minorHAnsi" w:hAnsiTheme="minorHAnsi" w:cstheme="minorHAnsi"/>
          <w:szCs w:val="24"/>
        </w:rPr>
      </w:pPr>
    </w:p>
    <w:p w14:paraId="7CA25224" w14:textId="0FDA22FB" w:rsidR="005A0FC8" w:rsidRDefault="00FD5220"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Evidence of Financial Responsibility</w:t>
      </w:r>
      <w:r w:rsidRPr="00516AB3">
        <w:rPr>
          <w:rFonts w:asciiTheme="minorHAnsi" w:hAnsiTheme="minorHAnsi" w:cstheme="minorHAnsi"/>
          <w:szCs w:val="24"/>
        </w:rPr>
        <w:t xml:space="preserve"> </w:t>
      </w:r>
      <w:commentRangeStart w:id="4"/>
      <w:r w:rsidR="00757BBC" w:rsidRPr="00516AB3">
        <w:rPr>
          <w:rFonts w:asciiTheme="minorHAnsi" w:hAnsiTheme="minorHAnsi" w:cstheme="minorHAnsi"/>
          <w:szCs w:val="24"/>
        </w:rPr>
        <w:t>–</w:t>
      </w:r>
      <w:r w:rsidRPr="00516AB3">
        <w:rPr>
          <w:rFonts w:asciiTheme="minorHAnsi" w:hAnsiTheme="minorHAnsi" w:cstheme="minorHAnsi"/>
          <w:szCs w:val="24"/>
        </w:rPr>
        <w:t xml:space="preserve"> </w:t>
      </w:r>
      <w:r w:rsidR="00757BBC" w:rsidRPr="00516AB3">
        <w:rPr>
          <w:rFonts w:asciiTheme="minorHAnsi" w:hAnsiTheme="minorHAnsi" w:cstheme="minorHAnsi"/>
          <w:szCs w:val="24"/>
        </w:rPr>
        <w:t xml:space="preserve">Removed at the request of the agency. </w:t>
      </w:r>
      <w:commentRangeEnd w:id="4"/>
      <w:r w:rsidR="00757BBC">
        <w:rPr>
          <w:rStyle w:val="CommentReference"/>
        </w:rPr>
        <w:commentReference w:id="4"/>
      </w:r>
      <w:r w:rsidR="0000708C" w:rsidRPr="00516AB3">
        <w:rPr>
          <w:rFonts w:asciiTheme="minorHAnsi" w:hAnsiTheme="minorHAnsi" w:cstheme="minorHAnsi"/>
          <w:szCs w:val="24"/>
        </w:rPr>
        <w:t>This section will indicate the ability to provide the mandatory evidence of financial responsibility. See Section 1.25 of RFP for details.</w:t>
      </w:r>
    </w:p>
    <w:p w14:paraId="3E7CB4B4" w14:textId="77777777" w:rsidR="005F14D1" w:rsidRPr="00516AB3" w:rsidRDefault="005F14D1" w:rsidP="005F14D1">
      <w:pPr>
        <w:pStyle w:val="ListParagraph"/>
        <w:widowControl/>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507E373A" w:rsidR="00FD5220" w:rsidRPr="00A2550B" w:rsidRDefault="00180A67" w:rsidP="003E057A">
            <w:pPr>
              <w:rPr>
                <w:rFonts w:asciiTheme="minorHAnsi" w:hAnsiTheme="minorHAnsi" w:cstheme="minorHAnsi"/>
                <w:szCs w:val="24"/>
              </w:rPr>
            </w:pPr>
            <w:r>
              <w:rPr>
                <w:rFonts w:asciiTheme="minorHAnsi" w:hAnsiTheme="minorHAnsi" w:cstheme="minorHAnsi"/>
                <w:szCs w:val="24"/>
              </w:rPr>
              <w:t>If/a</w:t>
            </w:r>
            <w:r w:rsidR="00EE1BA5">
              <w:rPr>
                <w:rFonts w:asciiTheme="minorHAnsi" w:hAnsiTheme="minorHAnsi" w:cstheme="minorHAnsi"/>
                <w:szCs w:val="24"/>
              </w:rPr>
              <w:t>s needed, p</w:t>
            </w:r>
            <w:r w:rsidR="00DE1215">
              <w:rPr>
                <w:rFonts w:asciiTheme="minorHAnsi" w:hAnsiTheme="minorHAnsi" w:cstheme="minorHAnsi"/>
                <w:szCs w:val="24"/>
              </w:rPr>
              <w:t>lease see</w:t>
            </w:r>
            <w:r w:rsidR="000A3199">
              <w:rPr>
                <w:rFonts w:asciiTheme="minorHAnsi" w:hAnsiTheme="minorHAnsi" w:cstheme="minorHAnsi"/>
                <w:szCs w:val="24"/>
              </w:rPr>
              <w:t xml:space="preserve">: </w:t>
            </w:r>
            <w:hyperlink r:id="rId23" w:history="1">
              <w:r w:rsidR="00B03359" w:rsidRPr="00B03359">
                <w:rPr>
                  <w:rStyle w:val="Hyperlink"/>
                  <w:rFonts w:asciiTheme="minorHAnsi" w:hAnsiTheme="minorHAnsi" w:cstheme="minorHAnsi"/>
                  <w:szCs w:val="24"/>
                </w:rPr>
                <w:t>Annual Reports | Financial Information | Investor Relations | Thomson Reuters</w:t>
              </w:r>
            </w:hyperlink>
            <w:r w:rsidR="00B03359">
              <w:rPr>
                <w:rFonts w:asciiTheme="minorHAnsi" w:hAnsiTheme="minorHAnsi" w:cstheme="minorHAnsi"/>
                <w:szCs w:val="24"/>
              </w:rPr>
              <w:t>.</w:t>
            </w: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1977F949" w:rsidR="003F442B" w:rsidRPr="00516AB3" w:rsidRDefault="0045070F"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9"/>
        <w:gridCol w:w="4421"/>
      </w:tblGrid>
      <w:tr w:rsidR="0022701A"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22701A"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4BFEAD70" w:rsidR="00FD5220" w:rsidRPr="00A2550B" w:rsidRDefault="00B03359" w:rsidP="00FD5220">
            <w:pPr>
              <w:rPr>
                <w:rFonts w:asciiTheme="minorHAnsi" w:hAnsiTheme="minorHAnsi" w:cstheme="minorHAnsi"/>
                <w:szCs w:val="24"/>
              </w:rPr>
            </w:pPr>
            <w:r>
              <w:rPr>
                <w:rFonts w:asciiTheme="minorHAnsi" w:hAnsiTheme="minorHAnsi" w:cstheme="minorHAnsi"/>
                <w:szCs w:val="24"/>
              </w:rPr>
              <w:t>West Publishing Corporation</w:t>
            </w:r>
          </w:p>
        </w:tc>
      </w:tr>
      <w:tr w:rsidR="0022701A"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E83B521" w:rsidR="00FD5220" w:rsidRPr="00A2550B" w:rsidRDefault="007C33B4" w:rsidP="00FD5220">
            <w:pPr>
              <w:rPr>
                <w:rFonts w:asciiTheme="minorHAnsi" w:hAnsiTheme="minorHAnsi" w:cstheme="minorHAnsi"/>
                <w:szCs w:val="24"/>
              </w:rPr>
            </w:pPr>
            <w:r>
              <w:rPr>
                <w:rFonts w:asciiTheme="minorHAnsi" w:hAnsiTheme="minorHAnsi" w:cstheme="minorHAnsi"/>
                <w:szCs w:val="24"/>
              </w:rPr>
              <w:t>Proposal contact: Karla Snellings; Signatory: John S. Nelson</w:t>
            </w:r>
          </w:p>
        </w:tc>
      </w:tr>
      <w:tr w:rsidR="0022701A"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2121AD4" w14:textId="77777777" w:rsidR="00987EAF" w:rsidRDefault="007C33B4" w:rsidP="00FD5220">
            <w:pPr>
              <w:rPr>
                <w:rFonts w:asciiTheme="minorHAnsi" w:hAnsiTheme="minorHAnsi" w:cstheme="minorHAnsi"/>
                <w:szCs w:val="24"/>
              </w:rPr>
            </w:pPr>
            <w:r>
              <w:rPr>
                <w:rFonts w:asciiTheme="minorHAnsi" w:hAnsiTheme="minorHAnsi" w:cstheme="minorHAnsi"/>
                <w:szCs w:val="24"/>
              </w:rPr>
              <w:t xml:space="preserve">Sr. Proposal Manager; </w:t>
            </w:r>
          </w:p>
          <w:p w14:paraId="0B0BCD83" w14:textId="4F15CACE" w:rsidR="00FD5220" w:rsidRPr="00A2550B" w:rsidRDefault="007C33B4" w:rsidP="00FD5220">
            <w:pPr>
              <w:rPr>
                <w:rFonts w:asciiTheme="minorHAnsi" w:hAnsiTheme="minorHAnsi" w:cstheme="minorHAnsi"/>
                <w:szCs w:val="24"/>
              </w:rPr>
            </w:pPr>
            <w:r>
              <w:rPr>
                <w:rFonts w:asciiTheme="minorHAnsi" w:hAnsiTheme="minorHAnsi" w:cstheme="minorHAnsi"/>
                <w:szCs w:val="24"/>
              </w:rPr>
              <w:lastRenderedPageBreak/>
              <w:t>Director of Procurement</w:t>
            </w:r>
          </w:p>
        </w:tc>
      </w:tr>
      <w:tr w:rsidR="0022701A"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lastRenderedPageBreak/>
              <w:t>Contact E-mail Address</w:t>
            </w:r>
          </w:p>
        </w:tc>
        <w:tc>
          <w:tcPr>
            <w:tcW w:w="4428" w:type="dxa"/>
            <w:shd w:val="clear" w:color="auto" w:fill="FFFF99"/>
          </w:tcPr>
          <w:p w14:paraId="6CF25291" w14:textId="6E1E6333" w:rsidR="007C33B4" w:rsidRPr="00A2550B" w:rsidRDefault="00D52CBA" w:rsidP="007C33B4">
            <w:pPr>
              <w:rPr>
                <w:rFonts w:asciiTheme="minorHAnsi" w:hAnsiTheme="minorHAnsi" w:cstheme="minorHAnsi"/>
                <w:szCs w:val="24"/>
              </w:rPr>
            </w:pPr>
            <w:hyperlink r:id="rId24" w:history="1">
              <w:r w:rsidR="007C33B4" w:rsidRPr="008B7584">
                <w:rPr>
                  <w:rStyle w:val="Hyperlink"/>
                  <w:rFonts w:asciiTheme="minorHAnsi" w:hAnsiTheme="minorHAnsi" w:cstheme="minorHAnsi"/>
                  <w:szCs w:val="24"/>
                </w:rPr>
                <w:t>karla.snellings@thomsonreuters.com</w:t>
              </w:r>
            </w:hyperlink>
            <w:r w:rsidR="007C33B4">
              <w:rPr>
                <w:rFonts w:asciiTheme="minorHAnsi" w:hAnsiTheme="minorHAnsi" w:cstheme="minorHAnsi"/>
                <w:szCs w:val="24"/>
              </w:rPr>
              <w:t xml:space="preserve">; </w:t>
            </w:r>
            <w:hyperlink r:id="rId25" w:history="1">
              <w:r w:rsidR="007C33B4" w:rsidRPr="008B7584">
                <w:rPr>
                  <w:rStyle w:val="Hyperlink"/>
                  <w:rFonts w:asciiTheme="minorHAnsi" w:hAnsiTheme="minorHAnsi" w:cstheme="minorHAnsi"/>
                  <w:szCs w:val="24"/>
                </w:rPr>
                <w:t>john.s.nelson@thomsonreuters.com</w:t>
              </w:r>
            </w:hyperlink>
          </w:p>
        </w:tc>
      </w:tr>
      <w:tr w:rsidR="0022701A"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19E9FBCC" w:rsidR="00FD5220" w:rsidRPr="00A2550B" w:rsidRDefault="00FA7484" w:rsidP="00FD5220">
            <w:pPr>
              <w:rPr>
                <w:rFonts w:asciiTheme="minorHAnsi" w:hAnsiTheme="minorHAnsi" w:cstheme="minorHAnsi"/>
                <w:szCs w:val="24"/>
              </w:rPr>
            </w:pPr>
            <w:r>
              <w:rPr>
                <w:rFonts w:asciiTheme="minorHAnsi" w:hAnsiTheme="minorHAnsi" w:cstheme="minorHAnsi"/>
                <w:szCs w:val="24"/>
              </w:rPr>
              <w:t>610 Opperman Drive</w:t>
            </w:r>
          </w:p>
        </w:tc>
      </w:tr>
      <w:tr w:rsidR="0022701A"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6726B517" w:rsidR="00FD5220" w:rsidRPr="00A2550B" w:rsidRDefault="00FA7484" w:rsidP="00FD5220">
            <w:pPr>
              <w:rPr>
                <w:rFonts w:asciiTheme="minorHAnsi" w:hAnsiTheme="minorHAnsi" w:cstheme="minorHAnsi"/>
                <w:szCs w:val="24"/>
              </w:rPr>
            </w:pPr>
            <w:r>
              <w:rPr>
                <w:rFonts w:asciiTheme="minorHAnsi" w:hAnsiTheme="minorHAnsi" w:cstheme="minorHAnsi"/>
                <w:szCs w:val="24"/>
              </w:rPr>
              <w:t>Eagan MN 55123</w:t>
            </w:r>
          </w:p>
        </w:tc>
      </w:tr>
      <w:tr w:rsidR="0022701A"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345276D9" w:rsidR="00FD5220" w:rsidRPr="00A2550B" w:rsidRDefault="00FA7484" w:rsidP="00FD5220">
            <w:pPr>
              <w:rPr>
                <w:rFonts w:asciiTheme="minorHAnsi" w:hAnsiTheme="minorHAnsi" w:cstheme="minorHAnsi"/>
                <w:szCs w:val="24"/>
              </w:rPr>
            </w:pPr>
            <w:r>
              <w:rPr>
                <w:rFonts w:asciiTheme="minorHAnsi" w:hAnsiTheme="minorHAnsi" w:cstheme="minorHAnsi"/>
                <w:szCs w:val="24"/>
              </w:rPr>
              <w:t>651-687-7000</w:t>
            </w:r>
          </w:p>
        </w:tc>
      </w:tr>
      <w:tr w:rsidR="0022701A"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57E36F3B" w:rsidR="00FD5220" w:rsidRPr="00A2550B" w:rsidRDefault="008932B8" w:rsidP="00FD5220">
            <w:pPr>
              <w:rPr>
                <w:rFonts w:asciiTheme="minorHAnsi" w:hAnsiTheme="minorHAnsi" w:cstheme="minorHAnsi"/>
                <w:szCs w:val="24"/>
              </w:rPr>
            </w:pPr>
            <w:r>
              <w:rPr>
                <w:rFonts w:asciiTheme="minorHAnsi" w:hAnsiTheme="minorHAnsi" w:cstheme="minorHAnsi"/>
                <w:szCs w:val="24"/>
              </w:rPr>
              <w:t>651-927-0383</w:t>
            </w:r>
          </w:p>
        </w:tc>
      </w:tr>
      <w:tr w:rsidR="0022701A"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1671AD9D" w:rsidR="00FD5220" w:rsidRPr="00A2550B" w:rsidRDefault="0022701A" w:rsidP="00FD5220">
            <w:pPr>
              <w:rPr>
                <w:rFonts w:asciiTheme="minorHAnsi" w:hAnsiTheme="minorHAnsi" w:cstheme="minorHAnsi"/>
                <w:szCs w:val="24"/>
              </w:rPr>
            </w:pPr>
            <w:r>
              <w:rPr>
                <w:rFonts w:asciiTheme="minorHAnsi" w:hAnsiTheme="minorHAnsi" w:cstheme="minorHAnsi"/>
                <w:szCs w:val="24"/>
              </w:rPr>
              <w:t>http://legalsolutions.thomsonreuters.com</w:t>
            </w:r>
          </w:p>
        </w:tc>
      </w:tr>
      <w:tr w:rsidR="0022701A"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5FF62D12" w:rsidR="00FD5220" w:rsidRPr="00A2550B" w:rsidRDefault="005A4977" w:rsidP="00FD5220">
            <w:pPr>
              <w:rPr>
                <w:rFonts w:asciiTheme="minorHAnsi" w:hAnsiTheme="minorHAnsi" w:cstheme="minorHAnsi"/>
                <w:szCs w:val="24"/>
              </w:rPr>
            </w:pPr>
            <w:r>
              <w:rPr>
                <w:rFonts w:asciiTheme="minorHAnsi" w:hAnsiTheme="minorHAnsi" w:cstheme="minorHAnsi"/>
                <w:szCs w:val="24"/>
              </w:rPr>
              <w:t>41-1426973</w:t>
            </w:r>
          </w:p>
        </w:tc>
      </w:tr>
      <w:tr w:rsidR="0022701A"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DE05C03" w:rsidR="00FD5220" w:rsidRPr="00A2550B" w:rsidRDefault="00420BCA" w:rsidP="00FD5220">
            <w:pPr>
              <w:rPr>
                <w:rFonts w:asciiTheme="minorHAnsi" w:hAnsiTheme="minorHAnsi" w:cstheme="minorHAnsi"/>
                <w:szCs w:val="24"/>
              </w:rPr>
            </w:pPr>
            <w:r>
              <w:rPr>
                <w:rFonts w:asciiTheme="minorHAnsi" w:hAnsiTheme="minorHAnsi" w:cstheme="minorHAnsi"/>
                <w:szCs w:val="24"/>
              </w:rPr>
              <w:t>Approx. 6500</w:t>
            </w:r>
          </w:p>
        </w:tc>
      </w:tr>
      <w:tr w:rsidR="0022701A"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51F077BB" w:rsidR="00FD5220" w:rsidRPr="00A2550B" w:rsidRDefault="0022701A" w:rsidP="00FD5220">
            <w:pPr>
              <w:rPr>
                <w:rFonts w:asciiTheme="minorHAnsi" w:hAnsiTheme="minorHAnsi" w:cstheme="minorHAnsi"/>
                <w:szCs w:val="24"/>
              </w:rPr>
            </w:pPr>
            <w:r>
              <w:rPr>
                <w:rFonts w:asciiTheme="minorHAnsi" w:hAnsiTheme="minorHAnsi" w:cstheme="minorHAnsi"/>
                <w:szCs w:val="24"/>
              </w:rPr>
              <w:t>145+</w:t>
            </w:r>
          </w:p>
        </w:tc>
      </w:tr>
      <w:tr w:rsidR="0022701A"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59852FF8" w:rsidR="00FD5220" w:rsidRPr="00A2550B" w:rsidRDefault="00C21DEE" w:rsidP="00FD5220">
            <w:pPr>
              <w:rPr>
                <w:rFonts w:asciiTheme="minorHAnsi" w:hAnsiTheme="minorHAnsi" w:cstheme="minorHAnsi"/>
                <w:szCs w:val="24"/>
              </w:rPr>
            </w:pPr>
            <w:r>
              <w:rPr>
                <w:rFonts w:asciiTheme="minorHAnsi" w:hAnsiTheme="minorHAnsi" w:cstheme="minorHAnsi"/>
                <w:szCs w:val="24"/>
              </w:rPr>
              <w:t>10</w:t>
            </w:r>
            <w:r w:rsidR="00C41FFB">
              <w:rPr>
                <w:rFonts w:asciiTheme="minorHAnsi" w:hAnsiTheme="minorHAnsi" w:cstheme="minorHAnsi"/>
                <w:szCs w:val="24"/>
              </w:rPr>
              <w:t xml:space="preserve"> (see </w:t>
            </w:r>
            <w:hyperlink r:id="rId26" w:history="1">
              <w:r w:rsidR="00EA61BF" w:rsidRPr="00EA61BF">
                <w:rPr>
                  <w:rStyle w:val="Hyperlink"/>
                  <w:rFonts w:asciiTheme="minorHAnsi" w:hAnsiTheme="minorHAnsi" w:cstheme="minorHAnsi"/>
                  <w:szCs w:val="24"/>
                </w:rPr>
                <w:t>Office Locations | Thomson Reuters</w:t>
              </w:r>
            </w:hyperlink>
            <w:r w:rsidR="00EA61BF">
              <w:rPr>
                <w:rFonts w:asciiTheme="minorHAnsi" w:hAnsiTheme="minorHAnsi" w:cstheme="minorHAnsi"/>
                <w:szCs w:val="24"/>
              </w:rPr>
              <w:t>)</w:t>
            </w:r>
          </w:p>
        </w:tc>
      </w:tr>
      <w:tr w:rsidR="0022701A"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696FCCAF" w:rsidR="00FD5220" w:rsidRPr="00A2550B" w:rsidRDefault="00E57E32" w:rsidP="00FD5220">
            <w:pPr>
              <w:rPr>
                <w:rFonts w:asciiTheme="minorHAnsi" w:hAnsiTheme="minorHAnsi" w:cstheme="minorHAnsi"/>
                <w:szCs w:val="24"/>
              </w:rPr>
            </w:pPr>
            <w:r>
              <w:rPr>
                <w:rFonts w:asciiTheme="minorHAnsi" w:hAnsiTheme="minorHAnsi" w:cstheme="minorHAnsi"/>
                <w:szCs w:val="24"/>
              </w:rPr>
              <w:t>Not applicable</w:t>
            </w:r>
          </w:p>
        </w:tc>
      </w:tr>
      <w:tr w:rsidR="0022701A"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5DF85F99" w:rsidR="00FD5220" w:rsidRPr="00A2550B" w:rsidRDefault="00E57E32" w:rsidP="00FD5220">
            <w:pPr>
              <w:rPr>
                <w:rFonts w:asciiTheme="minorHAnsi" w:hAnsiTheme="minorHAnsi" w:cstheme="minorHAnsi"/>
                <w:szCs w:val="24"/>
              </w:rPr>
            </w:pPr>
            <w:r>
              <w:rPr>
                <w:rFonts w:asciiTheme="minorHAnsi" w:hAnsiTheme="minorHAnsi" w:cstheme="minorHAnsi"/>
                <w:szCs w:val="24"/>
              </w:rPr>
              <w:t>Thomson Reuters (Legal) Inc.</w:t>
            </w:r>
          </w:p>
        </w:tc>
      </w:tr>
      <w:tr w:rsidR="0022701A"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92C40C7" w:rsidR="00FD5220" w:rsidRPr="00A2550B" w:rsidRDefault="00EB7326" w:rsidP="00FD5220">
            <w:pPr>
              <w:rPr>
                <w:rFonts w:asciiTheme="minorHAnsi" w:hAnsiTheme="minorHAnsi" w:cstheme="minorHAnsi"/>
                <w:szCs w:val="24"/>
              </w:rPr>
            </w:pPr>
            <w:r>
              <w:rPr>
                <w:rFonts w:asciiTheme="minorHAnsi" w:hAnsiTheme="minorHAnsi" w:cstheme="minorHAnsi"/>
                <w:szCs w:val="24"/>
              </w:rPr>
              <w:t>6B</w:t>
            </w:r>
          </w:p>
        </w:tc>
      </w:tr>
      <w:tr w:rsidR="0022701A"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BA6B371" w:rsidR="00FD5220" w:rsidRPr="00A2550B" w:rsidRDefault="00EB7326" w:rsidP="00FD5220">
            <w:pPr>
              <w:rPr>
                <w:rFonts w:asciiTheme="minorHAnsi" w:hAnsiTheme="minorHAnsi" w:cstheme="minorHAnsi"/>
                <w:szCs w:val="24"/>
              </w:rPr>
            </w:pPr>
            <w:r>
              <w:rPr>
                <w:rFonts w:asciiTheme="minorHAnsi" w:hAnsiTheme="minorHAnsi" w:cstheme="minorHAnsi"/>
                <w:szCs w:val="24"/>
              </w:rPr>
              <w:t>5.9B</w:t>
            </w:r>
          </w:p>
        </w:tc>
      </w:tr>
      <w:tr w:rsidR="0022701A"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0ABC7683" w:rsidR="00FD5220" w:rsidRPr="00A2550B" w:rsidRDefault="00E57E32" w:rsidP="00FD5220">
            <w:pPr>
              <w:rPr>
                <w:rFonts w:asciiTheme="minorHAnsi" w:hAnsiTheme="minorHAnsi" w:cstheme="minorHAnsi"/>
                <w:szCs w:val="24"/>
              </w:rPr>
            </w:pPr>
            <w:r>
              <w:rPr>
                <w:rFonts w:asciiTheme="minorHAnsi" w:hAnsiTheme="minorHAnsi" w:cstheme="minorHAnsi"/>
                <w:szCs w:val="24"/>
              </w:rPr>
              <w:t>Confidential and proprietary</w:t>
            </w:r>
          </w:p>
        </w:tc>
      </w:tr>
    </w:tbl>
    <w:p w14:paraId="2880346A" w14:textId="77777777" w:rsidR="0045070F" w:rsidRPr="00A2550B" w:rsidRDefault="0045070F" w:rsidP="00FD5220">
      <w:pPr>
        <w:rPr>
          <w:rFonts w:asciiTheme="minorHAnsi" w:hAnsiTheme="minorHAnsi" w:cstheme="minorHAnsi"/>
          <w:b/>
          <w:szCs w:val="24"/>
        </w:rPr>
      </w:pPr>
    </w:p>
    <w:p w14:paraId="729160C6" w14:textId="100A9CC5" w:rsidR="0000708C" w:rsidRPr="005F14D1" w:rsidRDefault="0000708C" w:rsidP="00926C22">
      <w:pPr>
        <w:widowControl/>
        <w:numPr>
          <w:ilvl w:val="1"/>
          <w:numId w:val="21"/>
        </w:numPr>
        <w:rPr>
          <w:rFonts w:asciiTheme="minorHAnsi" w:hAnsiTheme="minorHAnsi" w:cstheme="minorHAnsi"/>
          <w:b/>
        </w:rPr>
      </w:pPr>
      <w:bookmarkStart w:id="5"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5"/>
    </w:p>
    <w:p w14:paraId="022CE858"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5B3CD52F" w:rsidR="0000708C" w:rsidRPr="00A2550B" w:rsidRDefault="00EB7326" w:rsidP="00CA327C">
            <w:pPr>
              <w:rPr>
                <w:rFonts w:asciiTheme="minorHAnsi" w:hAnsiTheme="minorHAnsi" w:cstheme="minorHAnsi"/>
              </w:rPr>
            </w:pPr>
            <w:r>
              <w:rPr>
                <w:rFonts w:asciiTheme="minorHAnsi" w:hAnsiTheme="minorHAnsi" w:cstheme="minorHAnsi"/>
              </w:rPr>
              <w:t xml:space="preserve">Yes, please see the </w:t>
            </w:r>
            <w:r w:rsidR="004202AC">
              <w:rPr>
                <w:rFonts w:asciiTheme="minorHAnsi" w:hAnsiTheme="minorHAnsi" w:cstheme="minorHAnsi"/>
              </w:rPr>
              <w:t xml:space="preserve">Thomson Reuters </w:t>
            </w:r>
            <w:r w:rsidR="00FD7748">
              <w:rPr>
                <w:rFonts w:asciiTheme="minorHAnsi" w:hAnsiTheme="minorHAnsi" w:cstheme="minorHAnsi"/>
              </w:rPr>
              <w:t xml:space="preserve">Business Continuity/Disaster Recovery </w:t>
            </w:r>
            <w:r w:rsidR="004202AC">
              <w:rPr>
                <w:rFonts w:asciiTheme="minorHAnsi" w:hAnsiTheme="minorHAnsi" w:cstheme="minorHAnsi"/>
              </w:rPr>
              <w:t xml:space="preserve">Summary </w:t>
            </w:r>
            <w:r w:rsidR="00FD7748">
              <w:rPr>
                <w:rFonts w:asciiTheme="minorHAnsi" w:hAnsiTheme="minorHAnsi" w:cstheme="minorHAnsi"/>
              </w:rPr>
              <w:t>Statement document included with our proposal.</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D10823">
      <w:pPr>
        <w:widowControl/>
        <w:numPr>
          <w:ilvl w:val="1"/>
          <w:numId w:val="21"/>
        </w:numPr>
        <w:rPr>
          <w:rFonts w:asciiTheme="minorHAnsi" w:hAnsiTheme="minorHAnsi" w:cstheme="minorHAnsi"/>
          <w:b/>
        </w:rPr>
      </w:pPr>
      <w:bookmarkStart w:id="6" w:name="_Hlk76536922"/>
      <w:r w:rsidRPr="00251750">
        <w:rPr>
          <w:rFonts w:asciiTheme="minorHAnsi" w:hAnsiTheme="minorHAnsi" w:cstheme="minorHAnsi"/>
        </w:rPr>
        <w:t>What is your company’s technology and process for securing any State information that is maintained within your company?</w:t>
      </w:r>
      <w:bookmarkEnd w:id="6"/>
    </w:p>
    <w:p w14:paraId="358024A5"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1815BF53" w:rsidR="0000708C" w:rsidRPr="005F5FBF" w:rsidRDefault="0004715C" w:rsidP="00CA327C">
            <w:pPr>
              <w:rPr>
                <w:rFonts w:asciiTheme="minorHAnsi" w:hAnsiTheme="minorHAnsi" w:cstheme="minorHAnsi"/>
                <w:bCs/>
              </w:rPr>
            </w:pPr>
            <w:r w:rsidRPr="005F5FBF">
              <w:rPr>
                <w:rFonts w:asciiTheme="minorHAnsi" w:hAnsiTheme="minorHAnsi" w:cstheme="minorHAnsi"/>
                <w:bCs/>
              </w:rPr>
              <w:t>West’s proposed solution does not</w:t>
            </w:r>
            <w:r w:rsidR="000F7849" w:rsidRPr="005F5FBF">
              <w:rPr>
                <w:rFonts w:asciiTheme="minorHAnsi" w:hAnsiTheme="minorHAnsi" w:cstheme="minorHAnsi"/>
                <w:bCs/>
              </w:rPr>
              <w:t xml:space="preserve"> ingest or store customer information.</w:t>
            </w:r>
            <w:r w:rsidR="0018093E" w:rsidRPr="005F5FBF">
              <w:rPr>
                <w:rFonts w:asciiTheme="minorHAnsi" w:hAnsiTheme="minorHAnsi" w:cstheme="minorHAnsi"/>
                <w:bCs/>
              </w:rPr>
              <w:t xml:space="preserve"> Please see the Thomson Reuters Information Security Principles document included with our proposal.</w:t>
            </w: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6"/>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516AB3">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5E10BAD5" w:rsidR="0009502C" w:rsidRPr="00A2550B" w:rsidRDefault="00875786" w:rsidP="0009502C">
            <w:pPr>
              <w:rPr>
                <w:rFonts w:asciiTheme="minorHAnsi" w:hAnsiTheme="minorHAnsi" w:cstheme="minorHAnsi"/>
                <w:szCs w:val="24"/>
              </w:rPr>
            </w:pPr>
            <w:r w:rsidRPr="00875786">
              <w:rPr>
                <w:rFonts w:ascii="Calibri" w:eastAsia="Calibri" w:hAnsi="Calibri"/>
                <w:snapToGrid/>
                <w:sz w:val="22"/>
                <w:szCs w:val="24"/>
              </w:rPr>
              <w:t xml:space="preserve">West has been a leading provider of information since the company’s founding in 1872, and West’s government team for public records has significant and lengthy experience in delivering public records data solutions to government agencies, in some instances dating to the 1990s, when public records were first being made available online. The </w:t>
            </w:r>
            <w:r w:rsidR="00EB13E8">
              <w:rPr>
                <w:rFonts w:ascii="Calibri" w:eastAsia="Calibri" w:hAnsi="Calibri"/>
                <w:snapToGrid/>
                <w:sz w:val="22"/>
                <w:szCs w:val="24"/>
              </w:rPr>
              <w:t xml:space="preserve">CLEAR </w:t>
            </w:r>
            <w:r w:rsidRPr="00875786">
              <w:rPr>
                <w:rFonts w:ascii="Calibri" w:eastAsia="Calibri" w:hAnsi="Calibri"/>
                <w:snapToGrid/>
                <w:sz w:val="22"/>
                <w:szCs w:val="24"/>
              </w:rPr>
              <w:lastRenderedPageBreak/>
              <w:t>government team well understands the distinct missions of government agencies and how public records information and delivery tools can help agencies optimize their efforts.</w:t>
            </w:r>
            <w:r w:rsidR="008C79F3">
              <w:rPr>
                <w:rFonts w:ascii="Calibri" w:eastAsia="Calibri" w:hAnsi="Calibri"/>
                <w:snapToGrid/>
                <w:sz w:val="22"/>
                <w:szCs w:val="24"/>
              </w:rPr>
              <w:t xml:space="preserve"> </w:t>
            </w:r>
            <w:r w:rsidR="00EE0597">
              <w:rPr>
                <w:rFonts w:ascii="Calibri" w:eastAsia="Calibri" w:hAnsi="Calibri"/>
                <w:snapToGrid/>
                <w:sz w:val="22"/>
                <w:szCs w:val="24"/>
              </w:rPr>
              <w:t xml:space="preserve">In addition to federal </w:t>
            </w:r>
            <w:r w:rsidR="00292267">
              <w:rPr>
                <w:rFonts w:ascii="Calibri" w:eastAsia="Calibri" w:hAnsi="Calibri"/>
                <w:snapToGrid/>
                <w:sz w:val="22"/>
                <w:szCs w:val="24"/>
              </w:rPr>
              <w:t>agency customers and corporate customers, c</w:t>
            </w:r>
            <w:r w:rsidR="00C73870">
              <w:rPr>
                <w:rFonts w:ascii="Calibri" w:eastAsia="Calibri" w:hAnsi="Calibri"/>
                <w:snapToGrid/>
                <w:sz w:val="22"/>
                <w:szCs w:val="24"/>
              </w:rPr>
              <w:t>urrently, t</w:t>
            </w:r>
            <w:r w:rsidR="007B3ECC">
              <w:rPr>
                <w:rFonts w:ascii="Calibri" w:eastAsia="Calibri" w:hAnsi="Calibri"/>
                <w:snapToGrid/>
                <w:sz w:val="22"/>
                <w:szCs w:val="24"/>
              </w:rPr>
              <w:t xml:space="preserve">here are </w:t>
            </w:r>
            <w:r w:rsidR="00C9341D">
              <w:rPr>
                <w:rFonts w:ascii="Calibri" w:eastAsia="Calibri" w:hAnsi="Calibri"/>
                <w:snapToGrid/>
                <w:sz w:val="22"/>
                <w:szCs w:val="24"/>
              </w:rPr>
              <w:t>more than 3,800 government customers at the state and local levels</w:t>
            </w:r>
            <w:r w:rsidR="00447DA2">
              <w:rPr>
                <w:rFonts w:ascii="Calibri" w:eastAsia="Calibri" w:hAnsi="Calibri"/>
                <w:snapToGrid/>
                <w:sz w:val="22"/>
                <w:szCs w:val="24"/>
              </w:rPr>
              <w:t xml:space="preserve">, with </w:t>
            </w:r>
            <w:r w:rsidR="00915426">
              <w:rPr>
                <w:rFonts w:ascii="Calibri" w:eastAsia="Calibri" w:hAnsi="Calibri"/>
                <w:snapToGrid/>
                <w:sz w:val="22"/>
                <w:szCs w:val="24"/>
              </w:rPr>
              <w:t xml:space="preserve">more than 800 state government </w:t>
            </w:r>
            <w:r w:rsidR="00C73870">
              <w:rPr>
                <w:rFonts w:ascii="Calibri" w:eastAsia="Calibri" w:hAnsi="Calibri"/>
                <w:snapToGrid/>
                <w:sz w:val="22"/>
                <w:szCs w:val="24"/>
              </w:rPr>
              <w:t>customer accounts.</w:t>
            </w:r>
          </w:p>
        </w:tc>
      </w:tr>
    </w:tbl>
    <w:p w14:paraId="6249B76D" w14:textId="77777777" w:rsidR="0009502C" w:rsidRPr="00A2550B" w:rsidRDefault="0009502C" w:rsidP="0009502C">
      <w:pPr>
        <w:rPr>
          <w:rFonts w:asciiTheme="minorHAnsi" w:hAnsiTheme="minorHAnsi" w:cstheme="minorHAnsi"/>
          <w:szCs w:val="24"/>
        </w:rPr>
      </w:pPr>
    </w:p>
    <w:p w14:paraId="6DA43A37" w14:textId="28E6EDFC" w:rsidR="0045070F" w:rsidRDefault="0009502C"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5F3A9209" w:rsidR="004217C4" w:rsidRPr="00A2550B" w:rsidRDefault="008D67F0" w:rsidP="00260725">
            <w:pPr>
              <w:rPr>
                <w:rFonts w:asciiTheme="minorHAnsi" w:hAnsiTheme="minorHAnsi" w:cstheme="minorHAnsi"/>
                <w:szCs w:val="24"/>
              </w:rPr>
            </w:pPr>
            <w:r>
              <w:rPr>
                <w:rFonts w:asciiTheme="minorHAnsi" w:hAnsiTheme="minorHAnsi" w:cstheme="minorHAnsi"/>
                <w:szCs w:val="24"/>
              </w:rPr>
              <w:t xml:space="preserve">West has extensive experience in </w:t>
            </w:r>
            <w:r w:rsidR="003A386F">
              <w:rPr>
                <w:rFonts w:asciiTheme="minorHAnsi" w:hAnsiTheme="minorHAnsi" w:cstheme="minorHAnsi"/>
                <w:szCs w:val="24"/>
              </w:rPr>
              <w:t xml:space="preserve">successfully </w:t>
            </w:r>
            <w:r>
              <w:rPr>
                <w:rFonts w:asciiTheme="minorHAnsi" w:hAnsiTheme="minorHAnsi" w:cstheme="minorHAnsi"/>
                <w:szCs w:val="24"/>
              </w:rPr>
              <w:t xml:space="preserve">serving CLEAR customers </w:t>
            </w:r>
            <w:r w:rsidR="003A386F">
              <w:rPr>
                <w:rFonts w:asciiTheme="minorHAnsi" w:hAnsiTheme="minorHAnsi" w:cstheme="minorHAnsi"/>
                <w:szCs w:val="24"/>
              </w:rPr>
              <w:t>with</w:t>
            </w:r>
            <w:r w:rsidR="00A01009">
              <w:rPr>
                <w:rFonts w:asciiTheme="minorHAnsi" w:hAnsiTheme="minorHAnsi" w:cstheme="minorHAnsi"/>
                <w:szCs w:val="24"/>
              </w:rPr>
              <w:t xml:space="preserve"> a wide range of size and scope. Currently,</w:t>
            </w:r>
            <w:r w:rsidR="003A386F">
              <w:rPr>
                <w:rFonts w:asciiTheme="minorHAnsi" w:hAnsiTheme="minorHAnsi" w:cstheme="minorHAnsi"/>
                <w:szCs w:val="24"/>
              </w:rPr>
              <w:t xml:space="preserve"> </w:t>
            </w:r>
            <w:r w:rsidR="006B5C2D">
              <w:rPr>
                <w:rFonts w:asciiTheme="minorHAnsi" w:hAnsiTheme="minorHAnsi" w:cstheme="minorHAnsi"/>
                <w:szCs w:val="24"/>
              </w:rPr>
              <w:t>we have 20 state child support agencies using CLEAR,</w:t>
            </w:r>
            <w:r w:rsidR="000007EB">
              <w:rPr>
                <w:rFonts w:asciiTheme="minorHAnsi" w:hAnsiTheme="minorHAnsi" w:cstheme="minorHAnsi"/>
                <w:szCs w:val="24"/>
              </w:rPr>
              <w:t xml:space="preserve"> some with multiple accounts and approximately half also using </w:t>
            </w:r>
            <w:r w:rsidR="0041471F">
              <w:rPr>
                <w:rFonts w:asciiTheme="minorHAnsi" w:hAnsiTheme="minorHAnsi" w:cstheme="minorHAnsi"/>
                <w:szCs w:val="24"/>
              </w:rPr>
              <w:t>some form of alerting or continuous monitoring.</w:t>
            </w:r>
          </w:p>
        </w:tc>
      </w:tr>
    </w:tbl>
    <w:p w14:paraId="27CB179A" w14:textId="35553335" w:rsidR="000770AE" w:rsidRDefault="000770AE" w:rsidP="000770AE">
      <w:pPr>
        <w:jc w:val="both"/>
        <w:rPr>
          <w:rFonts w:asciiTheme="minorHAnsi" w:hAnsiTheme="minorHAnsi" w:cstheme="minorHAnsi"/>
          <w:szCs w:val="24"/>
        </w:rPr>
      </w:pPr>
    </w:p>
    <w:p w14:paraId="2BFDE289" w14:textId="6C70EA8F" w:rsidR="005A0FC8" w:rsidRDefault="00FD5220"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Payment - </w:t>
      </w:r>
      <w:commentRangeStart w:id="7"/>
      <w:r w:rsidRPr="000770AE">
        <w:rPr>
          <w:rFonts w:asciiTheme="minorHAnsi" w:hAnsiTheme="minorHAnsi" w:cstheme="minorHAnsi"/>
          <w:szCs w:val="24"/>
        </w:rPr>
        <w:t>Please provide the requested information in RFP Section 2.3.15</w:t>
      </w:r>
      <w:commentRangeEnd w:id="7"/>
      <w:r w:rsidR="000770AE">
        <w:rPr>
          <w:rStyle w:val="CommentReference"/>
        </w:rPr>
        <w:commentReference w:id="7"/>
      </w:r>
      <w:r w:rsidRPr="000770AE">
        <w:rPr>
          <w:rFonts w:asciiTheme="minorHAnsi" w:hAnsiTheme="minorHAnsi" w:cstheme="minorHAnsi"/>
          <w:szCs w:val="24"/>
        </w:rPr>
        <w:t>.</w:t>
      </w:r>
    </w:p>
    <w:p w14:paraId="42E35FF8"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5CAECF65" w:rsidR="00F655C2" w:rsidRPr="00A2550B" w:rsidRDefault="00835158" w:rsidP="004009A6">
            <w:pPr>
              <w:rPr>
                <w:rFonts w:asciiTheme="minorHAnsi" w:hAnsiTheme="minorHAnsi" w:cstheme="minorHAnsi"/>
                <w:szCs w:val="24"/>
              </w:rPr>
            </w:pPr>
            <w:r>
              <w:rPr>
                <w:rFonts w:asciiTheme="minorHAnsi" w:hAnsiTheme="minorHAnsi" w:cstheme="minorHAnsi"/>
                <w:szCs w:val="24"/>
              </w:rPr>
              <w:t xml:space="preserve">West </w:t>
            </w:r>
            <w:r w:rsidR="009801E1">
              <w:rPr>
                <w:rFonts w:asciiTheme="minorHAnsi" w:hAnsiTheme="minorHAnsi" w:cstheme="minorHAnsi"/>
                <w:szCs w:val="24"/>
              </w:rPr>
              <w:t>accepts</w:t>
            </w:r>
            <w:r>
              <w:rPr>
                <w:rFonts w:asciiTheme="minorHAnsi" w:hAnsiTheme="minorHAnsi" w:cstheme="minorHAnsi"/>
                <w:szCs w:val="24"/>
              </w:rPr>
              <w:t xml:space="preserve"> card payments</w:t>
            </w:r>
            <w:r w:rsidR="00A21733">
              <w:rPr>
                <w:rFonts w:asciiTheme="minorHAnsi" w:hAnsiTheme="minorHAnsi" w:cstheme="minorHAnsi"/>
                <w:szCs w:val="24"/>
              </w:rPr>
              <w:t xml:space="preserve"> </w:t>
            </w:r>
            <w:r w:rsidR="00B27310">
              <w:rPr>
                <w:rFonts w:asciiTheme="minorHAnsi" w:hAnsiTheme="minorHAnsi" w:cstheme="minorHAnsi"/>
                <w:szCs w:val="24"/>
              </w:rPr>
              <w:t>from major credit card</w:t>
            </w:r>
            <w:r w:rsidR="00FE13B9">
              <w:rPr>
                <w:rFonts w:asciiTheme="minorHAnsi" w:hAnsiTheme="minorHAnsi" w:cstheme="minorHAnsi"/>
                <w:szCs w:val="24"/>
              </w:rPr>
              <w:t>s and accepts only valid fees associated with processing regular credit card transactions.</w:t>
            </w:r>
          </w:p>
        </w:tc>
      </w:tr>
    </w:tbl>
    <w:p w14:paraId="71405DB1" w14:textId="6A8F3488" w:rsidR="00F655C2" w:rsidRDefault="00F655C2" w:rsidP="00AF696A">
      <w:pPr>
        <w:widowControl/>
        <w:jc w:val="both"/>
        <w:rPr>
          <w:rFonts w:ascii="Garamond" w:hAnsi="Garamond"/>
          <w:szCs w:val="24"/>
        </w:rPr>
      </w:pPr>
    </w:p>
    <w:p w14:paraId="42911CA2" w14:textId="57588449" w:rsidR="00641F69" w:rsidRDefault="000770AE" w:rsidP="00516AB3">
      <w:pPr>
        <w:pStyle w:val="ListParagraph"/>
        <w:numPr>
          <w:ilvl w:val="2"/>
          <w:numId w:val="16"/>
        </w:numPr>
        <w:rPr>
          <w:rFonts w:asciiTheme="minorHAnsi" w:hAnsiTheme="minorHAnsi" w:cstheme="minorHAnsi"/>
          <w:color w:val="000000" w:themeColor="text1"/>
          <w:szCs w:val="24"/>
        </w:rPr>
      </w:pPr>
      <w:commentRangeStart w:id="8"/>
      <w:r w:rsidRPr="00641F69">
        <w:rPr>
          <w:rFonts w:asciiTheme="minorHAnsi" w:hAnsiTheme="minorHAnsi" w:cstheme="minorHAnsi"/>
          <w:b/>
          <w:szCs w:val="24"/>
        </w:rPr>
        <w:t>Extending Pricing to Other Governmental Bodies</w:t>
      </w:r>
      <w:r w:rsidRPr="00641F69">
        <w:rPr>
          <w:rFonts w:asciiTheme="minorHAnsi" w:hAnsiTheme="minorHAnsi" w:cstheme="minorHAnsi"/>
          <w:bCs/>
          <w:szCs w:val="24"/>
        </w:rPr>
        <w:t xml:space="preserve"> </w:t>
      </w:r>
      <w:r w:rsidR="00B66829" w:rsidRPr="00641F69">
        <w:rPr>
          <w:rFonts w:asciiTheme="minorHAnsi" w:hAnsiTheme="minorHAnsi" w:cstheme="minorHAnsi"/>
          <w:bCs/>
          <w:szCs w:val="24"/>
        </w:rPr>
        <w:t>–</w:t>
      </w:r>
      <w:r w:rsidRPr="00641F69">
        <w:rPr>
          <w:rFonts w:asciiTheme="minorHAnsi" w:hAnsiTheme="minorHAnsi" w:cstheme="minorHAnsi"/>
          <w:bCs/>
          <w:szCs w:val="24"/>
        </w:rPr>
        <w:t xml:space="preserve"> </w:t>
      </w:r>
      <w:commentRangeEnd w:id="8"/>
      <w:r w:rsidR="00714C10">
        <w:rPr>
          <w:rStyle w:val="CommentReference"/>
        </w:rPr>
        <w:commentReference w:id="8"/>
      </w:r>
      <w:r w:rsidR="00B66829" w:rsidRPr="00641F69">
        <w:rPr>
          <w:rFonts w:asciiTheme="minorHAnsi" w:hAnsiTheme="minorHAnsi" w:cstheme="minorHAnsi"/>
          <w:bCs/>
          <w:szCs w:val="24"/>
        </w:rPr>
        <w:t>Indicate your willingness to extend prices of awarded products and/or services to other governmental bodies per RFP section 2.3.17.</w:t>
      </w:r>
      <w:r w:rsidR="00641F69" w:rsidRPr="00641F69">
        <w:rPr>
          <w:rFonts w:asciiTheme="minorHAnsi" w:hAnsiTheme="minorHAnsi" w:cstheme="minorHAnsi"/>
          <w:bCs/>
          <w:szCs w:val="24"/>
        </w:rPr>
        <w:t xml:space="preserve">  </w:t>
      </w:r>
      <w:r w:rsidR="00641F69" w:rsidRPr="00641F69">
        <w:rPr>
          <w:rFonts w:asciiTheme="minorHAnsi" w:hAnsiTheme="minorHAnsi" w:cstheme="minorHAnsi"/>
          <w:color w:val="000000" w:themeColor="text1"/>
          <w:szCs w:val="24"/>
        </w:rPr>
        <w:t xml:space="preserve">Please include details on any marketing or active solicitation activities your company will undertake to encourage use of the contract.  </w:t>
      </w:r>
    </w:p>
    <w:p w14:paraId="79D7C2ED" w14:textId="77777777" w:rsidR="005F14D1" w:rsidRPr="00641F69" w:rsidRDefault="005F14D1" w:rsidP="005F14D1">
      <w:pPr>
        <w:pStyle w:val="ListParagraph"/>
        <w:rPr>
          <w:rFonts w:asciiTheme="minorHAnsi" w:hAnsiTheme="minorHAnsi" w:cstheme="minorHAnsi"/>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516AB3">
        <w:tc>
          <w:tcPr>
            <w:tcW w:w="8856" w:type="dxa"/>
            <w:shd w:val="clear" w:color="auto" w:fill="FFFF99"/>
          </w:tcPr>
          <w:p w14:paraId="0C138212" w14:textId="17D5FB86" w:rsidR="000770AE" w:rsidRPr="000615F7" w:rsidRDefault="00B61D41" w:rsidP="000615F7">
            <w:pPr>
              <w:pStyle w:val="xbody"/>
              <w:rPr>
                <w:color w:val="auto"/>
              </w:rPr>
            </w:pPr>
            <w:r w:rsidRPr="00B61D41">
              <w:rPr>
                <w:rFonts w:ascii="Calibri" w:hAnsi="Calibri" w:cs="Calibri"/>
                <w:color w:val="auto"/>
              </w:rPr>
              <w:t>West’s offer is customized for the Indiana DCS, including the Child Support Bureau, the Child Welfare Investigator team, and potentially local county prosecutors’ offices, as indicated in RFP Section 1.4, Summary Scope of Work. We provide products and pricing specific to individual customers’ needs, so decline extension of the prices offered here to other government bodies.  As with all of our government customers, we would work in good faith with other agencies and government entities to provide the appropriate product and content for their needs with cost-effective pricing.</w:t>
            </w: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footerReference w:type="default" r:id="rId27"/>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IDOA Procurement" w:date="2021-08-19T17:06:00Z" w:initials="IDOA">
    <w:p w14:paraId="5128544A" w14:textId="77777777" w:rsidR="00757BBC" w:rsidRPr="00F679B8" w:rsidRDefault="00757BBC" w:rsidP="00757BBC">
      <w:pPr>
        <w:pStyle w:val="CommentText"/>
        <w:rPr>
          <w:rFonts w:asciiTheme="minorHAnsi" w:hAnsiTheme="minorHAnsi" w:cstheme="minorHAnsi"/>
        </w:rPr>
      </w:pPr>
      <w:r>
        <w:rPr>
          <w:rStyle w:val="CommentReference"/>
        </w:rPr>
        <w:annotationRef/>
      </w:r>
      <w:r w:rsidRPr="00F679B8">
        <w:rPr>
          <w:rFonts w:asciiTheme="minorHAnsi" w:hAnsiTheme="minorHAnsi" w:cstheme="minorHAnsi"/>
        </w:rPr>
        <w:t>In the event that Section 1.25 applies, insert the following language.</w:t>
      </w:r>
    </w:p>
    <w:p w14:paraId="13366E95" w14:textId="77777777" w:rsidR="00757BBC" w:rsidRPr="00F679B8" w:rsidRDefault="00757BBC" w:rsidP="00757BBC">
      <w:pPr>
        <w:pStyle w:val="CommentText"/>
        <w:rPr>
          <w:rFonts w:asciiTheme="minorHAnsi" w:hAnsiTheme="minorHAnsi" w:cstheme="minorHAnsi"/>
        </w:rPr>
      </w:pPr>
    </w:p>
    <w:p w14:paraId="2A3CF97C" w14:textId="77777777" w:rsidR="00757BBC" w:rsidRPr="00F679B8" w:rsidRDefault="00757BBC" w:rsidP="00757BBC">
      <w:pPr>
        <w:pStyle w:val="BodyTextIndent"/>
        <w:rPr>
          <w:rFonts w:asciiTheme="minorHAnsi" w:hAnsiTheme="minorHAnsi" w:cstheme="minorHAnsi"/>
          <w:szCs w:val="24"/>
        </w:rPr>
      </w:pPr>
      <w:r w:rsidRPr="00F679B8">
        <w:rPr>
          <w:rFonts w:asciiTheme="minorHAnsi" w:hAnsiTheme="minorHAnsi" w:cstheme="minorHAnsi"/>
          <w:szCs w:val="24"/>
        </w:rPr>
        <w:t xml:space="preserve">This section will indicate the ability to provide the mandatory evidence of financial responsibility. See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 xml:space="preserve"> for details.</w:t>
      </w:r>
    </w:p>
    <w:p w14:paraId="003BDC19" w14:textId="77777777" w:rsidR="00757BBC" w:rsidRPr="00F679B8" w:rsidRDefault="00757BBC" w:rsidP="00757BBC">
      <w:pPr>
        <w:widowControl/>
        <w:rPr>
          <w:rFonts w:asciiTheme="minorHAnsi" w:hAnsiTheme="minorHAnsi" w:cstheme="minorHAnsi"/>
          <w:szCs w:val="24"/>
        </w:rPr>
      </w:pPr>
    </w:p>
    <w:p w14:paraId="3E262BA3" w14:textId="13775A97" w:rsidR="00757BBC" w:rsidRDefault="00757BBC" w:rsidP="00757BBC">
      <w:pPr>
        <w:pStyle w:val="CommentText"/>
        <w:ind w:left="360"/>
      </w:pPr>
      <w:r w:rsidRPr="00F679B8">
        <w:rPr>
          <w:rFonts w:asciiTheme="minorHAnsi" w:hAnsiTheme="minorHAnsi" w:cstheme="minorHAnsi"/>
          <w:szCs w:val="24"/>
        </w:rPr>
        <w:t xml:space="preserve">Notwithstanding any other provisions relating to the beginning of the term, any contract will not become effective until the evidence of financial responsibility is delivered in the correct form and amount to the address indicated in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w:t>
      </w:r>
    </w:p>
  </w:comment>
  <w:comment w:id="7" w:author="IDOA Procurement" w:date="2021-08-19T17:12:00Z" w:initials="IDOA">
    <w:p w14:paraId="1573FDD8" w14:textId="3574FFB1" w:rsidR="000770AE" w:rsidRDefault="000770AE">
      <w:pPr>
        <w:pStyle w:val="CommentText"/>
      </w:pPr>
      <w:r>
        <w:rPr>
          <w:rStyle w:val="CommentReference"/>
        </w:rPr>
        <w:annotationRef/>
      </w:r>
      <w:r w:rsidRPr="00C5716D">
        <w:rPr>
          <w:rFonts w:asciiTheme="minorHAnsi" w:hAnsiTheme="minorHAnsi" w:cstheme="minorHAnsi"/>
          <w:sz w:val="24"/>
          <w:szCs w:val="24"/>
        </w:rPr>
        <w:t>I</w:t>
      </w:r>
      <w:r>
        <w:rPr>
          <w:rFonts w:asciiTheme="minorHAnsi" w:hAnsiTheme="minorHAnsi" w:cstheme="minorHAnsi"/>
          <w:sz w:val="24"/>
          <w:szCs w:val="24"/>
        </w:rPr>
        <w:t>f this does not apply, add this text, “REMOVED AT REQUEST OF AGENCY,” as modeled in this attachment, Section 2.3.12.</w:t>
      </w:r>
    </w:p>
  </w:comment>
  <w:comment w:id="8" w:author="IDOA Procurement" w:date="2021-08-25T13:45:00Z" w:initials="IDOA">
    <w:p w14:paraId="7D295B20" w14:textId="190BE80B" w:rsidR="00714C10" w:rsidRDefault="00714C10">
      <w:pPr>
        <w:pStyle w:val="CommentText"/>
      </w:pPr>
      <w:r>
        <w:rPr>
          <w:rStyle w:val="CommentReference"/>
        </w:rPr>
        <w:annotationRef/>
      </w:r>
      <w:r>
        <w:rPr>
          <w:rStyle w:val="CommentReference"/>
        </w:rPr>
        <w:annotationRef/>
      </w:r>
      <w:r w:rsidRPr="00C5716D">
        <w:rPr>
          <w:rFonts w:asciiTheme="minorHAnsi" w:hAnsiTheme="minorHAnsi" w:cstheme="minorHAnsi"/>
          <w:sz w:val="24"/>
          <w:szCs w:val="24"/>
        </w:rPr>
        <w:t>I</w:t>
      </w:r>
      <w:r>
        <w:rPr>
          <w:rFonts w:asciiTheme="minorHAnsi" w:hAnsiTheme="minorHAnsi" w:cstheme="minorHAnsi"/>
          <w:sz w:val="24"/>
          <w:szCs w:val="24"/>
        </w:rPr>
        <w:t>f this does not apply, add this text, “REMOVED AT REQUEST OF AGENCY,” as modeled in this attachment, Section 2.3.12.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E262BA3" w15:done="0"/>
  <w15:commentEx w15:paraId="1573FDD8" w15:done="0"/>
  <w15:commentEx w15:paraId="7D295B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C90E01" w16cex:dateUtc="2021-08-19T21:06:00Z"/>
  <w16cex:commentExtensible w16cex:durableId="24C90F67" w16cex:dateUtc="2021-08-19T21:12:00Z"/>
  <w16cex:commentExtensible w16cex:durableId="24D0C80E" w16cex:dateUtc="2021-08-25T17: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E262BA3" w16cid:durableId="24C90E01"/>
  <w16cid:commentId w16cid:paraId="1573FDD8" w16cid:durableId="24C90F67"/>
  <w16cid:commentId w16cid:paraId="7D295B20" w16cid:durableId="24D0C8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7F5D6A" w14:textId="77777777" w:rsidR="00D52CBA" w:rsidRDefault="00D52CBA" w:rsidP="00821AC7">
      <w:r>
        <w:separator/>
      </w:r>
    </w:p>
  </w:endnote>
  <w:endnote w:type="continuationSeparator" w:id="0">
    <w:p w14:paraId="2447709E" w14:textId="77777777" w:rsidR="00D52CBA" w:rsidRDefault="00D52CBA"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DF9A55" w14:textId="2A187B23" w:rsidR="00821AC7" w:rsidRPr="00821AC7" w:rsidRDefault="00821AC7"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rPr>
      <mc:AlternateContent>
        <mc:Choice Requires="wps">
          <w:drawing>
            <wp:anchor distT="0" distB="0" distL="114300" distR="114300" simplePos="0" relativeHeight="251659264"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327D1187"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Pr="00821AC7">
      <w:rPr>
        <w:rFonts w:asciiTheme="minorHAnsi" w:eastAsiaTheme="majorEastAsia" w:hAnsiTheme="minorHAnsi" w:cstheme="minorHAnsi"/>
        <w:noProof/>
        <w:color w:val="4472C4" w:themeColor="accent1"/>
        <w:sz w:val="22"/>
        <w:szCs w:val="22"/>
      </w:rPr>
      <w:t>2</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0EA1AE" w14:textId="77777777" w:rsidR="00D52CBA" w:rsidRDefault="00D52CBA" w:rsidP="00821AC7">
      <w:r>
        <w:separator/>
      </w:r>
    </w:p>
  </w:footnote>
  <w:footnote w:type="continuationSeparator" w:id="0">
    <w:p w14:paraId="660ED336" w14:textId="77777777" w:rsidR="00D52CBA" w:rsidRDefault="00D52CBA"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A345EC"/>
    <w:multiLevelType w:val="hybridMultilevel"/>
    <w:tmpl w:val="8656F71E"/>
    <w:lvl w:ilvl="0" w:tplc="36083BBE">
      <w:start w:val="1"/>
      <w:numFmt w:val="upperLetter"/>
      <w:lvlText w:val="%1."/>
      <w:lvlJc w:val="left"/>
      <w:pPr>
        <w:ind w:left="360" w:hanging="360"/>
      </w:pPr>
      <w:rPr>
        <w:rFonts w:hint="default"/>
      </w:rPr>
    </w:lvl>
    <w:lvl w:ilvl="1" w:tplc="67720C70">
      <w:start w:val="1"/>
      <w:numFmt w:val="lowerLetter"/>
      <w:lvlText w:val="%2."/>
      <w:lvlJc w:val="left"/>
      <w:pPr>
        <w:ind w:left="1080" w:hanging="360"/>
      </w:pPr>
    </w:lvl>
    <w:lvl w:ilvl="2" w:tplc="A4BC35E8" w:tentative="1">
      <w:start w:val="1"/>
      <w:numFmt w:val="lowerRoman"/>
      <w:lvlText w:val="%3."/>
      <w:lvlJc w:val="right"/>
      <w:pPr>
        <w:ind w:left="1800" w:hanging="180"/>
      </w:pPr>
    </w:lvl>
    <w:lvl w:ilvl="3" w:tplc="92B82BB8" w:tentative="1">
      <w:start w:val="1"/>
      <w:numFmt w:val="decimal"/>
      <w:lvlText w:val="%4."/>
      <w:lvlJc w:val="left"/>
      <w:pPr>
        <w:ind w:left="2520" w:hanging="360"/>
      </w:pPr>
    </w:lvl>
    <w:lvl w:ilvl="4" w:tplc="B1E8AE1E" w:tentative="1">
      <w:start w:val="1"/>
      <w:numFmt w:val="lowerLetter"/>
      <w:lvlText w:val="%5."/>
      <w:lvlJc w:val="left"/>
      <w:pPr>
        <w:ind w:left="3240" w:hanging="360"/>
      </w:pPr>
    </w:lvl>
    <w:lvl w:ilvl="5" w:tplc="4F0AC0E0" w:tentative="1">
      <w:start w:val="1"/>
      <w:numFmt w:val="lowerRoman"/>
      <w:lvlText w:val="%6."/>
      <w:lvlJc w:val="right"/>
      <w:pPr>
        <w:ind w:left="3960" w:hanging="180"/>
      </w:pPr>
    </w:lvl>
    <w:lvl w:ilvl="6" w:tplc="D4F442DC" w:tentative="1">
      <w:start w:val="1"/>
      <w:numFmt w:val="decimal"/>
      <w:lvlText w:val="%7."/>
      <w:lvlJc w:val="left"/>
      <w:pPr>
        <w:ind w:left="4680" w:hanging="360"/>
      </w:pPr>
    </w:lvl>
    <w:lvl w:ilvl="7" w:tplc="5EE29FE8" w:tentative="1">
      <w:start w:val="1"/>
      <w:numFmt w:val="lowerLetter"/>
      <w:lvlText w:val="%8."/>
      <w:lvlJc w:val="left"/>
      <w:pPr>
        <w:ind w:left="5400" w:hanging="360"/>
      </w:pPr>
    </w:lvl>
    <w:lvl w:ilvl="8" w:tplc="EE2814C6" w:tentative="1">
      <w:start w:val="1"/>
      <w:numFmt w:val="lowerRoman"/>
      <w:lvlText w:val="%9."/>
      <w:lvlJc w:val="right"/>
      <w:pPr>
        <w:ind w:left="6120" w:hanging="180"/>
      </w:p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0"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2"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7"/>
  </w:num>
  <w:num w:numId="3">
    <w:abstractNumId w:val="12"/>
  </w:num>
  <w:num w:numId="4">
    <w:abstractNumId w:val="10"/>
  </w:num>
  <w:num w:numId="5">
    <w:abstractNumId w:val="6"/>
  </w:num>
  <w:num w:numId="6">
    <w:abstractNumId w:val="17"/>
  </w:num>
  <w:num w:numId="7">
    <w:abstractNumId w:val="22"/>
  </w:num>
  <w:num w:numId="8">
    <w:abstractNumId w:val="25"/>
  </w:num>
  <w:num w:numId="9">
    <w:abstractNumId w:val="20"/>
  </w:num>
  <w:num w:numId="10">
    <w:abstractNumId w:val="1"/>
  </w:num>
  <w:num w:numId="11">
    <w:abstractNumId w:val="0"/>
  </w:num>
  <w:num w:numId="12">
    <w:abstractNumId w:val="18"/>
  </w:num>
  <w:num w:numId="13">
    <w:abstractNumId w:val="24"/>
  </w:num>
  <w:num w:numId="14">
    <w:abstractNumId w:val="4"/>
  </w:num>
  <w:num w:numId="15">
    <w:abstractNumId w:val="15"/>
  </w:num>
  <w:num w:numId="16">
    <w:abstractNumId w:val="13"/>
  </w:num>
  <w:num w:numId="17">
    <w:abstractNumId w:val="14"/>
  </w:num>
  <w:num w:numId="18">
    <w:abstractNumId w:val="1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6"/>
  </w:num>
  <w:num w:numId="25">
    <w:abstractNumId w:val="21"/>
  </w:num>
  <w:num w:numId="2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07EB"/>
    <w:rsid w:val="000033A4"/>
    <w:rsid w:val="0000708C"/>
    <w:rsid w:val="00007F53"/>
    <w:rsid w:val="000207A2"/>
    <w:rsid w:val="00046588"/>
    <w:rsid w:val="0004715C"/>
    <w:rsid w:val="000615F7"/>
    <w:rsid w:val="000770AE"/>
    <w:rsid w:val="0009140A"/>
    <w:rsid w:val="00094D95"/>
    <w:rsid w:val="0009502C"/>
    <w:rsid w:val="000A3199"/>
    <w:rsid w:val="000A7904"/>
    <w:rsid w:val="000A7E85"/>
    <w:rsid w:val="000B4021"/>
    <w:rsid w:val="000C6DD8"/>
    <w:rsid w:val="000D0BE8"/>
    <w:rsid w:val="000E685A"/>
    <w:rsid w:val="000F7849"/>
    <w:rsid w:val="0011345F"/>
    <w:rsid w:val="00124CB7"/>
    <w:rsid w:val="00133B9C"/>
    <w:rsid w:val="001344C7"/>
    <w:rsid w:val="00141B94"/>
    <w:rsid w:val="00142CC5"/>
    <w:rsid w:val="00143C5A"/>
    <w:rsid w:val="00155B0C"/>
    <w:rsid w:val="0016214A"/>
    <w:rsid w:val="00172609"/>
    <w:rsid w:val="00174793"/>
    <w:rsid w:val="0017503A"/>
    <w:rsid w:val="0018093E"/>
    <w:rsid w:val="00180A67"/>
    <w:rsid w:val="00185350"/>
    <w:rsid w:val="001B3E34"/>
    <w:rsid w:val="001B7DE4"/>
    <w:rsid w:val="001E0234"/>
    <w:rsid w:val="001F4189"/>
    <w:rsid w:val="001F7706"/>
    <w:rsid w:val="00203D6A"/>
    <w:rsid w:val="0022701A"/>
    <w:rsid w:val="00251750"/>
    <w:rsid w:val="0025534D"/>
    <w:rsid w:val="00260470"/>
    <w:rsid w:val="00260725"/>
    <w:rsid w:val="00264B4D"/>
    <w:rsid w:val="00265FA7"/>
    <w:rsid w:val="00270673"/>
    <w:rsid w:val="00291DBC"/>
    <w:rsid w:val="00292267"/>
    <w:rsid w:val="002960D5"/>
    <w:rsid w:val="002A3CD9"/>
    <w:rsid w:val="002B0064"/>
    <w:rsid w:val="002B3A36"/>
    <w:rsid w:val="002C2CB0"/>
    <w:rsid w:val="002C5E9A"/>
    <w:rsid w:val="002C5FAB"/>
    <w:rsid w:val="002C7FF5"/>
    <w:rsid w:val="002E4730"/>
    <w:rsid w:val="002F0EC0"/>
    <w:rsid w:val="002F3BEF"/>
    <w:rsid w:val="00304F46"/>
    <w:rsid w:val="00316747"/>
    <w:rsid w:val="00323710"/>
    <w:rsid w:val="00334298"/>
    <w:rsid w:val="0033601F"/>
    <w:rsid w:val="00341828"/>
    <w:rsid w:val="003519B5"/>
    <w:rsid w:val="003528C0"/>
    <w:rsid w:val="00370866"/>
    <w:rsid w:val="003A386F"/>
    <w:rsid w:val="003B7A2F"/>
    <w:rsid w:val="003E057A"/>
    <w:rsid w:val="003F442B"/>
    <w:rsid w:val="004009A6"/>
    <w:rsid w:val="00405269"/>
    <w:rsid w:val="0041471F"/>
    <w:rsid w:val="00414C3F"/>
    <w:rsid w:val="004202AC"/>
    <w:rsid w:val="00420BCA"/>
    <w:rsid w:val="004217C4"/>
    <w:rsid w:val="00436E61"/>
    <w:rsid w:val="00447DA2"/>
    <w:rsid w:val="0045070F"/>
    <w:rsid w:val="0045188D"/>
    <w:rsid w:val="00463E52"/>
    <w:rsid w:val="0047440B"/>
    <w:rsid w:val="00475460"/>
    <w:rsid w:val="0047789B"/>
    <w:rsid w:val="00480672"/>
    <w:rsid w:val="004B0803"/>
    <w:rsid w:val="004E4911"/>
    <w:rsid w:val="004E7F0E"/>
    <w:rsid w:val="004F3F1D"/>
    <w:rsid w:val="00512A58"/>
    <w:rsid w:val="00516AB3"/>
    <w:rsid w:val="005222FA"/>
    <w:rsid w:val="0052418B"/>
    <w:rsid w:val="00541900"/>
    <w:rsid w:val="00542998"/>
    <w:rsid w:val="0056091C"/>
    <w:rsid w:val="005667BF"/>
    <w:rsid w:val="005978D0"/>
    <w:rsid w:val="005A0801"/>
    <w:rsid w:val="005A0FC8"/>
    <w:rsid w:val="005A144F"/>
    <w:rsid w:val="005A4977"/>
    <w:rsid w:val="005E6DF7"/>
    <w:rsid w:val="005F14D1"/>
    <w:rsid w:val="005F14FB"/>
    <w:rsid w:val="005F1879"/>
    <w:rsid w:val="005F5FBF"/>
    <w:rsid w:val="005F7AEE"/>
    <w:rsid w:val="00601A6F"/>
    <w:rsid w:val="00603289"/>
    <w:rsid w:val="00610FE6"/>
    <w:rsid w:val="006122B8"/>
    <w:rsid w:val="006223BF"/>
    <w:rsid w:val="006405E9"/>
    <w:rsid w:val="00641F69"/>
    <w:rsid w:val="006676D8"/>
    <w:rsid w:val="006968B0"/>
    <w:rsid w:val="006B0B71"/>
    <w:rsid w:val="006B5C2D"/>
    <w:rsid w:val="006C141B"/>
    <w:rsid w:val="00711E7D"/>
    <w:rsid w:val="00714C10"/>
    <w:rsid w:val="007218E2"/>
    <w:rsid w:val="007337DE"/>
    <w:rsid w:val="00741B7D"/>
    <w:rsid w:val="00746D98"/>
    <w:rsid w:val="00757BBC"/>
    <w:rsid w:val="00764E14"/>
    <w:rsid w:val="00786320"/>
    <w:rsid w:val="007A445A"/>
    <w:rsid w:val="007B2329"/>
    <w:rsid w:val="007B3ECC"/>
    <w:rsid w:val="007C043B"/>
    <w:rsid w:val="007C33B4"/>
    <w:rsid w:val="007D299A"/>
    <w:rsid w:val="007E520E"/>
    <w:rsid w:val="007F1B85"/>
    <w:rsid w:val="008109D5"/>
    <w:rsid w:val="00821AC7"/>
    <w:rsid w:val="008316B9"/>
    <w:rsid w:val="00835158"/>
    <w:rsid w:val="00836E96"/>
    <w:rsid w:val="0085066A"/>
    <w:rsid w:val="00856872"/>
    <w:rsid w:val="008631B6"/>
    <w:rsid w:val="00865601"/>
    <w:rsid w:val="00875786"/>
    <w:rsid w:val="00877F50"/>
    <w:rsid w:val="00887F55"/>
    <w:rsid w:val="008932B8"/>
    <w:rsid w:val="008944FA"/>
    <w:rsid w:val="008B77A4"/>
    <w:rsid w:val="008C16F1"/>
    <w:rsid w:val="008C2903"/>
    <w:rsid w:val="008C3365"/>
    <w:rsid w:val="008C428E"/>
    <w:rsid w:val="008C79F3"/>
    <w:rsid w:val="008D67F0"/>
    <w:rsid w:val="008E0DCF"/>
    <w:rsid w:val="008F4E85"/>
    <w:rsid w:val="00915426"/>
    <w:rsid w:val="009255C1"/>
    <w:rsid w:val="00940E3E"/>
    <w:rsid w:val="00951771"/>
    <w:rsid w:val="00955770"/>
    <w:rsid w:val="009577EA"/>
    <w:rsid w:val="00965FF1"/>
    <w:rsid w:val="00976BD5"/>
    <w:rsid w:val="009801E1"/>
    <w:rsid w:val="00987EAF"/>
    <w:rsid w:val="009B05FC"/>
    <w:rsid w:val="009C1BD2"/>
    <w:rsid w:val="009C325B"/>
    <w:rsid w:val="009D550B"/>
    <w:rsid w:val="009E3A01"/>
    <w:rsid w:val="00A001B8"/>
    <w:rsid w:val="00A01009"/>
    <w:rsid w:val="00A06D14"/>
    <w:rsid w:val="00A21733"/>
    <w:rsid w:val="00A2550B"/>
    <w:rsid w:val="00A30ACC"/>
    <w:rsid w:val="00A35F83"/>
    <w:rsid w:val="00A37B2A"/>
    <w:rsid w:val="00A57E50"/>
    <w:rsid w:val="00AA1B11"/>
    <w:rsid w:val="00AB2C7D"/>
    <w:rsid w:val="00AB68BF"/>
    <w:rsid w:val="00AB7B9F"/>
    <w:rsid w:val="00AC0A69"/>
    <w:rsid w:val="00AC786B"/>
    <w:rsid w:val="00AD3A14"/>
    <w:rsid w:val="00AE0D5D"/>
    <w:rsid w:val="00AF696A"/>
    <w:rsid w:val="00B03359"/>
    <w:rsid w:val="00B07688"/>
    <w:rsid w:val="00B27310"/>
    <w:rsid w:val="00B31281"/>
    <w:rsid w:val="00B31295"/>
    <w:rsid w:val="00B33C36"/>
    <w:rsid w:val="00B53937"/>
    <w:rsid w:val="00B61D41"/>
    <w:rsid w:val="00B66829"/>
    <w:rsid w:val="00B66D79"/>
    <w:rsid w:val="00B671D0"/>
    <w:rsid w:val="00B8113C"/>
    <w:rsid w:val="00BB4C38"/>
    <w:rsid w:val="00BD2A99"/>
    <w:rsid w:val="00BD7CB3"/>
    <w:rsid w:val="00BE246F"/>
    <w:rsid w:val="00BF4E0C"/>
    <w:rsid w:val="00C16379"/>
    <w:rsid w:val="00C21DEE"/>
    <w:rsid w:val="00C249B7"/>
    <w:rsid w:val="00C3779A"/>
    <w:rsid w:val="00C41FFB"/>
    <w:rsid w:val="00C4202B"/>
    <w:rsid w:val="00C50B13"/>
    <w:rsid w:val="00C53789"/>
    <w:rsid w:val="00C73870"/>
    <w:rsid w:val="00C74DA5"/>
    <w:rsid w:val="00C9083F"/>
    <w:rsid w:val="00C9341D"/>
    <w:rsid w:val="00CA327C"/>
    <w:rsid w:val="00CA4DCE"/>
    <w:rsid w:val="00CB62E2"/>
    <w:rsid w:val="00CC3724"/>
    <w:rsid w:val="00D10EAF"/>
    <w:rsid w:val="00D24DFB"/>
    <w:rsid w:val="00D45264"/>
    <w:rsid w:val="00D52CBA"/>
    <w:rsid w:val="00D61EF4"/>
    <w:rsid w:val="00D63CFE"/>
    <w:rsid w:val="00D644A9"/>
    <w:rsid w:val="00D9324D"/>
    <w:rsid w:val="00DB0B3A"/>
    <w:rsid w:val="00DB20F5"/>
    <w:rsid w:val="00DC0E7B"/>
    <w:rsid w:val="00DC3CFD"/>
    <w:rsid w:val="00DC7CB1"/>
    <w:rsid w:val="00DE1215"/>
    <w:rsid w:val="00E0619F"/>
    <w:rsid w:val="00E12085"/>
    <w:rsid w:val="00E23B9B"/>
    <w:rsid w:val="00E26E01"/>
    <w:rsid w:val="00E30F06"/>
    <w:rsid w:val="00E33D58"/>
    <w:rsid w:val="00E42E2A"/>
    <w:rsid w:val="00E52175"/>
    <w:rsid w:val="00E55CD1"/>
    <w:rsid w:val="00E57E32"/>
    <w:rsid w:val="00E61C93"/>
    <w:rsid w:val="00E65C28"/>
    <w:rsid w:val="00E65CF2"/>
    <w:rsid w:val="00E65CF5"/>
    <w:rsid w:val="00E714F1"/>
    <w:rsid w:val="00E75923"/>
    <w:rsid w:val="00E86554"/>
    <w:rsid w:val="00EA1E04"/>
    <w:rsid w:val="00EA61BF"/>
    <w:rsid w:val="00EB13E8"/>
    <w:rsid w:val="00EB37F2"/>
    <w:rsid w:val="00EB7326"/>
    <w:rsid w:val="00EC4FAA"/>
    <w:rsid w:val="00ED32B4"/>
    <w:rsid w:val="00ED4A81"/>
    <w:rsid w:val="00EE0597"/>
    <w:rsid w:val="00EE1BA5"/>
    <w:rsid w:val="00EE5147"/>
    <w:rsid w:val="00EF0A39"/>
    <w:rsid w:val="00EF2B6F"/>
    <w:rsid w:val="00F048E5"/>
    <w:rsid w:val="00F06F73"/>
    <w:rsid w:val="00F27DB8"/>
    <w:rsid w:val="00F374A5"/>
    <w:rsid w:val="00F40AC3"/>
    <w:rsid w:val="00F655C2"/>
    <w:rsid w:val="00F72BF2"/>
    <w:rsid w:val="00FA161D"/>
    <w:rsid w:val="00FA7484"/>
    <w:rsid w:val="00FB6174"/>
    <w:rsid w:val="00FB6F5E"/>
    <w:rsid w:val="00FD141D"/>
    <w:rsid w:val="00FD364C"/>
    <w:rsid w:val="00FD5220"/>
    <w:rsid w:val="00FD7748"/>
    <w:rsid w:val="00FE13B9"/>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paragraph" w:styleId="Heading2">
    <w:name w:val="heading 2"/>
    <w:basedOn w:val="Normal"/>
    <w:link w:val="Heading2Char"/>
    <w:uiPriority w:val="9"/>
    <w:qFormat/>
    <w:rsid w:val="00F048E5"/>
    <w:pPr>
      <w:widowControl/>
      <w:spacing w:before="100" w:beforeAutospacing="1" w:after="100" w:afterAutospacing="1"/>
      <w:outlineLvl w:val="1"/>
    </w:pPr>
    <w:rPr>
      <w:rFonts w:ascii="Times New Roman" w:hAnsi="Times New Roman"/>
      <w:b/>
      <w:bCs/>
      <w:snapToGrid/>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 w:type="character" w:styleId="UnresolvedMention">
    <w:name w:val="Unresolved Mention"/>
    <w:basedOn w:val="DefaultParagraphFont"/>
    <w:uiPriority w:val="99"/>
    <w:semiHidden/>
    <w:unhideWhenUsed/>
    <w:rsid w:val="00B03359"/>
    <w:rPr>
      <w:color w:val="605E5C"/>
      <w:shd w:val="clear" w:color="auto" w:fill="E1DFDD"/>
    </w:rPr>
  </w:style>
  <w:style w:type="character" w:customStyle="1" w:styleId="Heading2Char">
    <w:name w:val="Heading 2 Char"/>
    <w:basedOn w:val="DefaultParagraphFont"/>
    <w:link w:val="Heading2"/>
    <w:uiPriority w:val="9"/>
    <w:rsid w:val="00F048E5"/>
    <w:rPr>
      <w:b/>
      <w:bCs/>
      <w:sz w:val="36"/>
      <w:szCs w:val="36"/>
    </w:rPr>
  </w:style>
  <w:style w:type="paragraph" w:styleId="NormalWeb">
    <w:name w:val="Normal (Web)"/>
    <w:basedOn w:val="Normal"/>
    <w:uiPriority w:val="99"/>
    <w:unhideWhenUsed/>
    <w:rsid w:val="00F048E5"/>
    <w:pPr>
      <w:widowControl/>
      <w:spacing w:before="100" w:beforeAutospacing="1" w:after="100" w:afterAutospacing="1"/>
    </w:pPr>
    <w:rPr>
      <w:rFonts w:ascii="Times New Roman" w:hAnsi="Times New Roman"/>
      <w:snapToGrid/>
      <w:szCs w:val="24"/>
    </w:rPr>
  </w:style>
  <w:style w:type="paragraph" w:customStyle="1" w:styleId="xbody">
    <w:name w:val="x_body"/>
    <w:basedOn w:val="Normal"/>
    <w:rsid w:val="00B61D41"/>
    <w:pPr>
      <w:widowControl/>
      <w:spacing w:after="240"/>
    </w:pPr>
    <w:rPr>
      <w:rFonts w:ascii="Times New Roman" w:eastAsiaTheme="minorHAnsi" w:hAnsi="Times New Roman"/>
      <w:snapToGrid/>
      <w:color w:val="66666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170290341">
      <w:bodyDiv w:val="1"/>
      <w:marLeft w:val="0"/>
      <w:marRight w:val="0"/>
      <w:marTop w:val="0"/>
      <w:marBottom w:val="0"/>
      <w:divBdr>
        <w:top w:val="none" w:sz="0" w:space="0" w:color="auto"/>
        <w:left w:val="none" w:sz="0" w:space="0" w:color="auto"/>
        <w:bottom w:val="none" w:sz="0" w:space="0" w:color="auto"/>
        <w:right w:val="none" w:sz="0" w:space="0" w:color="auto"/>
      </w:divBdr>
    </w:div>
    <w:div w:id="1202281763">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525483079">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1984115227">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r.thomsonreuters.com/financial-information/annual-reports" TargetMode="External"/><Relationship Id="rId18" Type="http://schemas.openxmlformats.org/officeDocument/2006/relationships/hyperlink" Target="mailto:idoareferences@idoa.in.gov" TargetMode="External"/><Relationship Id="rId26" Type="http://schemas.openxmlformats.org/officeDocument/2006/relationships/hyperlink" Target="https://legal.thomsonreuters.com/en/about/office-locations" TargetMode="Externa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www.forbes.com/companies/thomson-reuters/?list=best-employers-diversity/&amp;sh=864413526301" TargetMode="External"/><Relationship Id="rId17" Type="http://schemas.openxmlformats.org/officeDocument/2006/relationships/hyperlink" Target="https://thehub.thomsonreuters.com/people/0041618/people?filterID=orgchart" TargetMode="External"/><Relationship Id="rId25" Type="http://schemas.openxmlformats.org/officeDocument/2006/relationships/hyperlink" Target="mailto:john.s.nelson@thomsonreuters.com"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microsoft.com/office/2011/relationships/commentsExtended" Target="commentsExtended.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omsonreuters.com/en/about-us/awards-recognition.html" TargetMode="External"/><Relationship Id="rId24" Type="http://schemas.openxmlformats.org/officeDocument/2006/relationships/hyperlink" Target="mailto:karla.snellings@thomsonreuters.com" TargetMode="External"/><Relationship Id="rId5" Type="http://schemas.openxmlformats.org/officeDocument/2006/relationships/numbering" Target="numbering.xml"/><Relationship Id="rId15" Type="http://schemas.openxmlformats.org/officeDocument/2006/relationships/hyperlink" Target="https://ir.thomsonreuters.com/financial-information/annual-reports" TargetMode="External"/><Relationship Id="rId23" Type="http://schemas.openxmlformats.org/officeDocument/2006/relationships/hyperlink" Target="https://ir.thomsonreuters.com/financial-information/annual-reports"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am02.safelinks.protection.outlook.com/?url=https%3A%2F%2Fwww.dnb.com%2Futility-pages%2Fterms-of-use.html&amp;data=04%7C01%7Ckarla.snellings%40thomsonreuters.com%7C7715098f3617419c88f108d99a19ca8c%7C62ccb8646a1a4b5d8e1c397dec1a8258%7C0%7C0%7C637710257828678952%7CUnknown%7CTWFpbGZsb3d8eyJWIjoiMC4wLjAwMDAiLCJQIjoiV2luMzIiLCJBTiI6Ik1haWwiLCJXVCI6Mn0%3D%7C1000&amp;sdata=zDAo2ICGtutX%2F8g%2FAAV3X3ZgaBAViYzPWNGKIbKsM%2Fk%3D&amp;reserved=0" TargetMode="External"/><Relationship Id="rId22" Type="http://schemas.microsoft.com/office/2018/08/relationships/commentsExtensible" Target="commentsExtensible.xm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89042D14244141A13181477C773A0E" ma:contentTypeVersion="16" ma:contentTypeDescription="Create a new document." ma:contentTypeScope="" ma:versionID="7e3705eb1a4db463822060973b538faf">
  <xsd:schema xmlns:xsd="http://www.w3.org/2001/XMLSchema" xmlns:xs="http://www.w3.org/2001/XMLSchema" xmlns:p="http://schemas.microsoft.com/office/2006/metadata/properties" xmlns:ns1="http://schemas.microsoft.com/sharepoint/v3" xmlns:ns2="cc261635-e335-4013-84ae-020ddbe4511e" xmlns:ns3="953be8c0-4a67-487d-8f1b-fa688f1aa379" targetNamespace="http://schemas.microsoft.com/office/2006/metadata/properties" ma:root="true" ma:fieldsID="5251c64a40b0b5cb4702eb578d61ddda" ns1:_="" ns2:_="" ns3:_="">
    <xsd:import namespace="http://schemas.microsoft.com/sharepoint/v3"/>
    <xsd:import namespace="cc261635-e335-4013-84ae-020ddbe4511e"/>
    <xsd:import namespace="953be8c0-4a67-487d-8f1b-fa688f1aa37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Location" minOccurs="0"/>
                <xsd:element ref="ns2:Set_x0020_Reminder_x0020_For"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61635-e335-4013-84ae-020ddbe451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Set_x0020_Reminder_x0020_For" ma:index="20" nillable="true" ma:displayName="Set Reminder For" ma:description="Fill in the date that you would like to see a reminder email regarding this document. (Procurement Associates)" ma:format="DateOnly" ma:indexed="true" ma:internalName="Set_x0020_Reminder_x0020_For">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53be8c0-4a67-487d-8f1b-fa688f1aa37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Set_x0020_Reminder_x0020_For xmlns="cc261635-e335-4013-84ae-020ddbe4511e"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B5E39B-60CB-40D1-B5A9-6BECCF8941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c261635-e335-4013-84ae-020ddbe4511e"/>
    <ds:schemaRef ds:uri="953be8c0-4a67-487d-8f1b-fa688f1aa3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B7671672-D183-495D-831A-2DCD5122DC0D}">
  <ds:schemaRefs>
    <ds:schemaRef ds:uri="http://schemas.microsoft.com/office/2006/metadata/properties"/>
    <ds:schemaRef ds:uri="http://schemas.microsoft.com/office/infopath/2007/PartnerControls"/>
    <ds:schemaRef ds:uri="http://schemas.microsoft.com/sharepoint/v3"/>
    <ds:schemaRef ds:uri="cc261635-e335-4013-84ae-020ddbe4511e"/>
  </ds:schemaRefs>
</ds:datastoreItem>
</file>

<file path=customXml/itemProps4.xml><?xml version="1.0" encoding="utf-8"?>
<ds:datastoreItem xmlns:ds="http://schemas.openxmlformats.org/officeDocument/2006/customXml" ds:itemID="{A1641CD8-311F-4368-B460-EA7144C0F4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3177</TotalTime>
  <Pages>15</Pages>
  <Words>4490</Words>
  <Characters>25599</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30029</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Snellings, Karla (TR Commercial Excellence)</cp:lastModifiedBy>
  <cp:revision>158</cp:revision>
  <cp:lastPrinted>2021-12-27T15:30:00Z</cp:lastPrinted>
  <dcterms:created xsi:type="dcterms:W3CDTF">2021-12-14T15:45:00Z</dcterms:created>
  <dcterms:modified xsi:type="dcterms:W3CDTF">2021-12-27T22:49:00Z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0x0101006889042D14244141A13181477C773A0E</vt:lpwstr>
  </property>
</Properties>
</file>